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B7784"/>
          <w:sz w:val="18"/>
        </w:rPr>
        <w:t>ABSign  ·  Contract Template</w:t>
      </w:r>
    </w:p>
    <w:p>
      <w:r>
        <w:rPr>
          <w:b/>
          <w:color w:val="2C3847"/>
          <w:sz w:val="40"/>
        </w:rPr>
        <w:t>Study Abroad Agency Service Agreement</w:t>
      </w:r>
    </w:p>
    <w:p>
      <w:r>
        <w:rPr>
          <w:color w:val="00A894"/>
          <w:sz w:val="22"/>
        </w:rPr>
        <w:t>Recruitment and application support · Commission and refund terms · Compliance with education law</w:t>
      </w:r>
    </w:p>
    <w:p>
      <w:r>
        <w:rPr>
          <w:color w:val="6B7784"/>
          <w:sz w:val="17"/>
        </w:rPr>
        <w:t>Version 1.0  ·  Issued 08 October 2026  ·  Free to use and adapt  ·  abroadsign.com</w:t>
      </w:r>
    </w:p>
    <w:tbl>
      <w:tblPr>
        <w:tblStyle w:val="TableGrid"/>
        <w:tblW w:type="auto" w:w="0"/>
        <w:jc w:val="left"/>
        <w:tblLook w:firstColumn="1" w:firstRow="1" w:lastColumn="0" w:lastRow="0" w:noHBand="0" w:noVBand="1" w:val="04A0"/>
      </w:tblPr>
      <w:tblGrid>
        <w:gridCol w:w="4873"/>
        <w:gridCol w:w="4873"/>
      </w:tblGrid>
      <w:tr>
        <w:tc>
          <w:tcPr>
            <w:tcW w:type="dxa" w:w="4873"/>
          </w:tcPr>
          <w:p>
            <w:r>
              <w:rPr>
                <w:b/>
                <w:sz w:val="18"/>
              </w:rPr>
              <w:t>Document type</w:t>
            </w:r>
          </w:p>
        </w:tc>
        <w:tc>
          <w:tcPr>
            <w:tcW w:type="dxa" w:w="4873"/>
          </w:tcPr>
          <w:p>
            <w:r>
              <w:rPr>
                <w:sz w:val="18"/>
              </w:rPr>
              <w:t>Service agreement (education agency)</w:t>
            </w:r>
          </w:p>
        </w:tc>
      </w:tr>
      <w:tr>
        <w:tc>
          <w:tcPr>
            <w:tcW w:type="dxa" w:w="4873"/>
          </w:tcPr>
          <w:p>
            <w:r>
              <w:rPr>
                <w:b/>
                <w:sz w:val="18"/>
              </w:rPr>
              <w:t>Best for</w:t>
            </w:r>
          </w:p>
        </w:tc>
        <w:tc>
          <w:tcPr>
            <w:tcW w:type="dxa" w:w="4873"/>
          </w:tcPr>
          <w:p>
            <w:r>
              <w:rPr>
                <w:sz w:val="18"/>
              </w:rPr>
              <w:t>Study-abroad agencies, education consultants and pathway providers working with students and institutions</w:t>
            </w:r>
          </w:p>
        </w:tc>
      </w:tr>
      <w:tr>
        <w:tc>
          <w:tcPr>
            <w:tcW w:type="dxa" w:w="4873"/>
          </w:tcPr>
          <w:p>
            <w:r>
              <w:rPr>
                <w:b/>
                <w:sz w:val="18"/>
              </w:rPr>
              <w:t>Key clauses</w:t>
            </w:r>
          </w:p>
        </w:tc>
        <w:tc>
          <w:tcPr>
            <w:tcW w:type="dxa" w:w="4873"/>
          </w:tcPr>
          <w:p>
            <w:r>
              <w:rPr>
                <w:sz w:val="18"/>
              </w:rPr>
              <w:t>Services, student obligations, fees and refunds, commission, privacy and consent, complaints, governing law</w:t>
            </w:r>
          </w:p>
        </w:tc>
      </w:tr>
    </w:tbl>
    <w:p/>
    <w:p>
      <w:r>
        <w:rPr>
          <w:b/>
          <w:color w:val="2C3847"/>
          <w:sz w:val="26"/>
        </w:rPr>
        <w:t>Parties</w:t>
      </w:r>
    </w:p>
    <w:p>
      <w:r>
        <w:rPr>
          <w:b/>
        </w:rPr>
        <w:t xml:space="preserve">Agency:  </w:t>
      </w:r>
      <w:r>
        <w:t>______________________________________________</w:t>
      </w:r>
    </w:p>
    <w:p>
      <w:r>
        <w:rPr>
          <w:color w:val="6B7784"/>
          <w:sz w:val="17"/>
        </w:rPr>
        <w:t>(legal name, registered address, representative, licence or registration number (if any))</w:t>
      </w:r>
    </w:p>
    <w:p>
      <w:r>
        <w:rPr>
          <w:b/>
        </w:rPr>
        <w:t xml:space="preserve">Student:  </w:t>
      </w:r>
      <w:r>
        <w:t>______________________________________________</w:t>
      </w:r>
    </w:p>
    <w:p>
      <w:r>
        <w:rPr>
          <w:color w:val="6B7784"/>
          <w:sz w:val="17"/>
        </w:rPr>
        <w:t>(full name, date of birth, passport number, address, emergency contact)</w:t>
      </w:r>
    </w:p>
    <w:p/>
    <w:p>
      <w:r>
        <w:rPr>
          <w:b/>
          <w:color w:val="2C3847"/>
          <w:sz w:val="26"/>
        </w:rPr>
        <w:t>Agreement</w:t>
      </w:r>
    </w:p>
    <w:p>
      <w:r>
        <w:rPr>
          <w:b/>
          <w:color w:val="2C3847"/>
          <w:sz w:val="22"/>
        </w:rPr>
        <w:t>1. Services</w:t>
      </w:r>
    </w:p>
    <w:p>
      <w:pPr>
        <w:spacing w:after="120"/>
      </w:pPr>
      <w:r>
        <w:rPr>
          <w:sz w:val="20"/>
        </w:rPr>
        <w:t>The Agency shall provide the following services to the Student: (a) assessment of academic background and study options; (b) advice on course and institution selection; (c) assistance with preparing application documents; (d) guidance on visa application requirements and timelines; (e) pre-departure briefing; and (f) ongoing support during the first [INSERT] weeks after arrival.</w:t>
      </w:r>
    </w:p>
    <w:p>
      <w:pPr>
        <w:spacing w:after="120"/>
      </w:pPr>
      <w:r>
        <w:rPr>
          <w:sz w:val="20"/>
        </w:rPr>
        <w:t>The Agency does not guarantee admission to any institution, nor the grant of any visa. Admission and visa decisions are made solely by the relevant institution and government authority.</w:t>
      </w:r>
    </w:p>
    <w:p>
      <w:r>
        <w:rPr>
          <w:b/>
          <w:color w:val="2C3847"/>
          <w:sz w:val="22"/>
        </w:rPr>
        <w:t>2. Student Obligations</w:t>
      </w:r>
    </w:p>
    <w:p>
      <w:pPr>
        <w:spacing w:after="120"/>
      </w:pPr>
      <w:r>
        <w:rPr>
          <w:sz w:val="20"/>
        </w:rPr>
        <w:t>The Student shall provide accurate, complete and timely information and genuine documents, and shall promptly notify the Agency of any change that may affect an application or visa.</w:t>
      </w:r>
    </w:p>
    <w:p>
      <w:pPr>
        <w:spacing w:after="120"/>
      </w:pPr>
      <w:r>
        <w:rPr>
          <w:sz w:val="20"/>
        </w:rPr>
        <w:t>The Student acknowledges that submitting false or misleading information may result in refusal, revocation of admission, visa cancellation and loss of fees.</w:t>
      </w:r>
    </w:p>
    <w:p>
      <w:r>
        <w:rPr>
          <w:b/>
          <w:color w:val="2C3847"/>
          <w:sz w:val="22"/>
        </w:rPr>
        <w:t>3. Fees and Refunds</w:t>
      </w:r>
    </w:p>
    <w:p>
      <w:pPr>
        <w:spacing w:after="120"/>
      </w:pPr>
      <w:r>
        <w:rPr>
          <w:sz w:val="20"/>
        </w:rPr>
        <w:t>The Student shall pay the service fee set out in Schedule A in the instalments specified there. Third-party costs (institution application fees, visa fees, testing fees, courier charges, translation and notarisation) are payable by the Student in addition and are non-refundable by the Agency once incurred.</w:t>
      </w:r>
    </w:p>
    <w:p>
      <w:pPr>
        <w:spacing w:after="120"/>
      </w:pPr>
      <w:r>
        <w:rPr>
          <w:sz w:val="20"/>
        </w:rPr>
        <w:t>The service fee is refundable in full if the Agency fails to deliver the core services in clause 1. Where a visa is refused for reasons unrelated to the Student's misrepresentation or breach, the Agency shall refund [SELECT: 100% / 50%] of the service fee, less third-party costs already incurred.</w:t>
      </w:r>
    </w:p>
    <w:p>
      <w:pPr>
        <w:spacing w:after="120"/>
      </w:pPr>
      <w:r>
        <w:rPr>
          <w:sz w:val="20"/>
        </w:rPr>
        <w:t>Refunds are processed within thirty (30) days of a written refund request supported by the relevant decision letter.</w:t>
      </w:r>
    </w:p>
    <w:p>
      <w:r>
        <w:rPr>
          <w:b/>
          <w:color w:val="2C3847"/>
          <w:sz w:val="22"/>
        </w:rPr>
        <w:t>4. Commission and Conflicts of Interest</w:t>
      </w:r>
    </w:p>
    <w:p>
      <w:pPr>
        <w:spacing w:after="120"/>
      </w:pPr>
      <w:r>
        <w:rPr>
          <w:sz w:val="20"/>
        </w:rPr>
        <w:t>The Student acknowledges that the Agency may receive commission or other remuneration from institutions for successful enrolments.</w:t>
      </w:r>
    </w:p>
    <w:p>
      <w:pPr>
        <w:spacing w:after="120"/>
      </w:pPr>
      <w:r>
        <w:rPr>
          <w:sz w:val="20"/>
        </w:rPr>
        <w:t>The Agency shall disclose, on request, whether it receives commission from any institution it recommends, and shall recommend institutions on the basis of the Student's interests.</w:t>
      </w:r>
    </w:p>
    <w:p>
      <w:r>
        <w:rPr>
          <w:b/>
          <w:color w:val="2C3847"/>
          <w:sz w:val="22"/>
        </w:rPr>
        <w:t>5. Documents, Privacy and Consent</w:t>
      </w:r>
    </w:p>
    <w:p>
      <w:pPr>
        <w:spacing w:after="120"/>
      </w:pPr>
      <w:r>
        <w:rPr>
          <w:sz w:val="20"/>
        </w:rPr>
        <w:t>The Student consents to the Agency collecting, storing and sharing personal data (including passport, academic records and financial documents) with institutions, visa authorities, translators, couriers and insurers, solely for the purposes of providing the Services.</w:t>
      </w:r>
    </w:p>
    <w:p>
      <w:pPr>
        <w:spacing w:after="120"/>
      </w:pPr>
      <w:r>
        <w:rPr>
          <w:sz w:val="20"/>
        </w:rPr>
        <w:t>The Agency shall implement reasonable security measures, retain documents only as long as necessary, and delete or return documents on request after the engagement ends, subject to legal retention requirements.</w:t>
      </w:r>
    </w:p>
    <w:p>
      <w:pPr>
        <w:spacing w:after="120"/>
      </w:pPr>
      <w:r>
        <w:rPr>
          <w:sz w:val="20"/>
        </w:rPr>
        <w:t>Where documents must be signed for an overseas institution, the Student may sign electronically, and the Parties agree that an electronic signature satisfying applicable law has the same effect as a handwritten signature.</w:t>
      </w:r>
    </w:p>
    <w:p>
      <w:r>
        <w:rPr>
          <w:b/>
          <w:color w:val="2C3847"/>
          <w:sz w:val="22"/>
        </w:rPr>
        <w:t>6. Complaints and Liability</w:t>
      </w:r>
    </w:p>
    <w:p>
      <w:pPr>
        <w:spacing w:after="120"/>
      </w:pPr>
      <w:r>
        <w:rPr>
          <w:sz w:val="20"/>
        </w:rPr>
        <w:t>The Agency shall acknowledge a written complaint within five (5) business days and provide a substantive response within twenty (20) business days.</w:t>
      </w:r>
    </w:p>
    <w:p>
      <w:pPr>
        <w:spacing w:after="120"/>
      </w:pPr>
      <w:r>
        <w:rPr>
          <w:sz w:val="20"/>
        </w:rPr>
        <w:t>The Agency's liability is limited to the service fees actually paid by the Student. The Agency is not liable for decisions of institutions or governments, nor for indirect or consequential loss.</w:t>
      </w:r>
    </w:p>
    <w:p>
      <w:r>
        <w:rPr>
          <w:b/>
          <w:color w:val="2C3847"/>
          <w:sz w:val="22"/>
        </w:rPr>
        <w:t>7. Term and Termination</w:t>
      </w:r>
    </w:p>
    <w:p>
      <w:pPr>
        <w:spacing w:after="120"/>
      </w:pPr>
      <w:r>
        <w:rPr>
          <w:sz w:val="20"/>
        </w:rPr>
        <w:t>This Agreement continues until the Services are completed or the application process concludes, whichever is later. Either Party may terminate on fourteen (14) days' written notice; fees for services already delivered remain payable.</w:t>
      </w:r>
    </w:p>
    <w:p>
      <w:r>
        <w:rPr>
          <w:b/>
          <w:color w:val="2C3847"/>
          <w:sz w:val="22"/>
        </w:rPr>
        <w:t>8. Governing Law</w:t>
      </w:r>
    </w:p>
    <w:p>
      <w:pPr>
        <w:spacing w:after="120"/>
      </w:pPr>
      <w:r>
        <w:rPr>
          <w:sz w:val="20"/>
        </w:rPr>
        <w:t>This Agreement is governed by the laws of [SELECT JURISDICTION]. Disputes shall first be referred to good-faith negotiation and then to the courts of [SELECT JURISDICTION].</w:t>
      </w:r>
    </w:p>
    <w:p/>
    <w:p>
      <w:r>
        <w:rPr>
          <w:b/>
          <w:color w:val="2C3847"/>
          <w:sz w:val="26"/>
        </w:rPr>
        <w:t>Signatures</w:t>
      </w:r>
    </w:p>
    <w:tbl>
      <w:tblPr>
        <w:tblStyle w:val="TableGrid"/>
        <w:tblW w:type="auto" w:w="0"/>
        <w:tblLook w:firstColumn="1" w:firstRow="1" w:lastColumn="0" w:lastRow="0" w:noHBand="0" w:noVBand="1" w:val="04A0"/>
      </w:tblPr>
      <w:tblGrid>
        <w:gridCol w:w="4873"/>
        <w:gridCol w:w="4873"/>
      </w:tblGrid>
      <w:tr>
        <w:tc>
          <w:tcPr>
            <w:tcW w:type="dxa" w:w="4873"/>
          </w:tcPr>
          <w:p>
            <w:r/>
            <w:r>
              <w:br/>
              <w:br/>
            </w:r>
            <w:r>
              <w:rPr>
                <w:color w:val="6B7784"/>
                <w:sz w:val="18"/>
              </w:rPr>
              <w:t>Agency — Signature</w:t>
            </w:r>
          </w:p>
        </w:tc>
        <w:tc>
          <w:tcPr>
            <w:tcW w:type="dxa" w:w="4873"/>
          </w:tcPr>
          <w:p>
            <w:r/>
            <w:r>
              <w:br/>
              <w:br/>
            </w:r>
            <w:r>
              <w:rPr>
                <w:color w:val="6B7784"/>
                <w:sz w:val="18"/>
              </w:rPr>
              <w:t>Agency — Date</w:t>
            </w:r>
          </w:p>
        </w:tc>
      </w:tr>
      <w:tr>
        <w:tc>
          <w:tcPr>
            <w:tcW w:type="dxa" w:w="4873"/>
          </w:tcPr>
          <w:p>
            <w:r/>
            <w:r>
              <w:br/>
              <w:br/>
            </w:r>
            <w:r>
              <w:rPr>
                <w:color w:val="6B7784"/>
                <w:sz w:val="18"/>
              </w:rPr>
              <w:t>Student — Signature</w:t>
            </w:r>
          </w:p>
        </w:tc>
        <w:tc>
          <w:tcPr>
            <w:tcW w:type="dxa" w:w="4873"/>
          </w:tcPr>
          <w:p>
            <w:r/>
            <w:r>
              <w:br/>
              <w:br/>
            </w:r>
            <w:r>
              <w:rPr>
                <w:color w:val="6B7784"/>
                <w:sz w:val="18"/>
              </w:rPr>
              <w:t>Student — Date</w:t>
            </w:r>
          </w:p>
        </w:tc>
      </w:tr>
    </w:tbl>
    <w:p/>
    <w:p>
      <w:r>
        <w:rPr>
          <w:i/>
          <w:color w:val="2C3847"/>
          <w:sz w:val="18"/>
        </w:rPr>
        <w:t>Signed electronically:  every party may sign this document by electronic signature. The parties agree that an electronic signature satisfying the applicable electronic signature law has the same legal effect as a handwritten signature, and that the electronic record and audit trail are admissible as evidence.</w:t>
      </w:r>
    </w:p>
    <w:p/>
    <w:p>
      <w:r>
        <w:rPr>
          <w:color w:val="6B7784"/>
          <w:sz w:val="16"/>
        </w:rPr>
        <w:t>IMPORTANT NOTICE — NOT LEGAL ADVICE. This document is a general template provided by ABSign for informational and drafting-assistance purposes only. It does not constitute legal advice and does not create a lawyer–client relationship. Laws differ between jurisdictions and change over time. You should have this template reviewed and adapted by a qualified legal professional licensed in the relevant jurisdiction before using it. ABSign accepts no liability for any loss arising from use of this template without independent legal review.</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