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7784"/>
          <w:sz w:val="18"/>
        </w:rPr>
        <w:t>ABSign  ·  Contract Template</w:t>
      </w:r>
    </w:p>
    <w:p>
      <w:r>
        <w:rPr>
          <w:b/>
          <w:color w:val="2C3847"/>
          <w:sz w:val="40"/>
        </w:rPr>
        <w:t>Independent Contractor Agreement</w:t>
      </w:r>
    </w:p>
    <w:p>
      <w:r>
        <w:rPr>
          <w:color w:val="00A894"/>
          <w:sz w:val="22"/>
        </w:rPr>
        <w:t>Freelance and remote engagements · IP assignment · Cross-border payment</w:t>
      </w:r>
    </w:p>
    <w:p>
      <w:r>
        <w:rPr>
          <w:color w:val="6B7784"/>
          <w:sz w:val="17"/>
        </w:rPr>
        <w:t>Version 1.0  ·  Issued 08 October 2026  ·  Free to use and adapt  ·  abroadsign.com</w:t>
      </w:r>
    </w:p>
    <w:tbl>
      <w:tblPr>
        <w:tblStyle w:val="TableGrid"/>
        <w:tblW w:type="auto" w:w="0"/>
        <w:jc w:val="left"/>
        <w:tblLook w:firstColumn="1" w:firstRow="1" w:lastColumn="0" w:lastRow="0" w:noHBand="0" w:noVBand="1" w:val="04A0"/>
      </w:tblPr>
      <w:tblGrid>
        <w:gridCol w:w="4873"/>
        <w:gridCol w:w="4873"/>
      </w:tblGrid>
      <w:tr>
        <w:tc>
          <w:tcPr>
            <w:tcW w:type="dxa" w:w="4873"/>
          </w:tcPr>
          <w:p>
            <w:r>
              <w:rPr>
                <w:b/>
                <w:sz w:val="18"/>
              </w:rPr>
              <w:t>Document type</w:t>
            </w:r>
          </w:p>
        </w:tc>
        <w:tc>
          <w:tcPr>
            <w:tcW w:type="dxa" w:w="4873"/>
          </w:tcPr>
          <w:p>
            <w:r>
              <w:rPr>
                <w:sz w:val="18"/>
              </w:rPr>
              <w:t>Independent contractor / freelance services agreement</w:t>
            </w:r>
          </w:p>
        </w:tc>
      </w:tr>
      <w:tr>
        <w:tc>
          <w:tcPr>
            <w:tcW w:type="dxa" w:w="4873"/>
          </w:tcPr>
          <w:p>
            <w:r>
              <w:rPr>
                <w:b/>
                <w:sz w:val="18"/>
              </w:rPr>
              <w:t>Best for</w:t>
            </w:r>
          </w:p>
        </w:tc>
        <w:tc>
          <w:tcPr>
            <w:tcW w:type="dxa" w:w="4873"/>
          </w:tcPr>
          <w:p>
            <w:r>
              <w:rPr>
                <w:sz w:val="18"/>
              </w:rPr>
              <w:t>Engaging a freelancer or consultant based in another country on a project or retainer basis</w:t>
            </w:r>
          </w:p>
        </w:tc>
      </w:tr>
      <w:tr>
        <w:tc>
          <w:tcPr>
            <w:tcW w:type="dxa" w:w="4873"/>
          </w:tcPr>
          <w:p>
            <w:r>
              <w:rPr>
                <w:b/>
                <w:sz w:val="18"/>
              </w:rPr>
              <w:t>Key clauses</w:t>
            </w:r>
          </w:p>
        </w:tc>
        <w:tc>
          <w:tcPr>
            <w:tcW w:type="dxa" w:w="4873"/>
          </w:tcPr>
          <w:p>
            <w:r>
              <w:rPr>
                <w:sz w:val="18"/>
              </w:rPr>
              <w:t>Independent contractor status, deliverables, IP assignment, expenses, tax, termination, non-solicitation</w:t>
            </w:r>
          </w:p>
        </w:tc>
      </w:tr>
    </w:tbl>
    <w:p/>
    <w:p>
      <w:r>
        <w:rPr>
          <w:b/>
          <w:color w:val="2C3847"/>
          <w:sz w:val="26"/>
        </w:rPr>
        <w:t>Parties</w:t>
      </w:r>
    </w:p>
    <w:p>
      <w:r>
        <w:rPr>
          <w:b/>
        </w:rPr>
        <w:t xml:space="preserve">Company:  </w:t>
      </w:r>
      <w:r>
        <w:t>______________________________________________</w:t>
      </w:r>
    </w:p>
    <w:p>
      <w:r>
        <w:rPr>
          <w:color w:val="6B7784"/>
          <w:sz w:val="17"/>
        </w:rPr>
        <w:t>(legal name, registered address, representative)</w:t>
      </w:r>
    </w:p>
    <w:p>
      <w:r>
        <w:rPr>
          <w:b/>
        </w:rPr>
        <w:t xml:space="preserve">Contractor:  </w:t>
      </w:r>
      <w:r>
        <w:t>______________________________________________</w:t>
      </w:r>
    </w:p>
    <w:p>
      <w:r>
        <w:rPr>
          <w:color w:val="6B7784"/>
          <w:sz w:val="17"/>
        </w:rPr>
        <w:t>(legal name, address, tax identification number, country of residence)</w:t>
      </w:r>
    </w:p>
    <w:p/>
    <w:p>
      <w:r>
        <w:rPr>
          <w:b/>
          <w:color w:val="2C3847"/>
          <w:sz w:val="26"/>
        </w:rPr>
        <w:t>Agreement</w:t>
      </w:r>
    </w:p>
    <w:p>
      <w:r>
        <w:rPr>
          <w:b/>
          <w:color w:val="2C3847"/>
          <w:sz w:val="22"/>
        </w:rPr>
        <w:t>1. Engagement</w:t>
      </w:r>
    </w:p>
    <w:p>
      <w:pPr>
        <w:spacing w:after="120"/>
      </w:pPr>
      <w:r>
        <w:rPr>
          <w:sz w:val="20"/>
        </w:rPr>
        <w:t>The Company engages the Contractor as an independent contractor to provide the services described in Schedule A (the "Services"). The Contractor accepts the engagement on the terms of this Agreement.</w:t>
      </w:r>
    </w:p>
    <w:p>
      <w:r>
        <w:rPr>
          <w:b/>
          <w:color w:val="2C3847"/>
          <w:sz w:val="22"/>
        </w:rPr>
        <w:t>2. Independent Contractor Status</w:t>
      </w:r>
    </w:p>
    <w:p>
      <w:pPr>
        <w:spacing w:after="120"/>
      </w:pPr>
      <w:r>
        <w:rPr>
          <w:sz w:val="20"/>
        </w:rPr>
        <w:t>The Contractor is an independent contractor, not an employee, partner or agent of the Company. Nothing in this Agreement creates an employment relationship.</w:t>
      </w:r>
    </w:p>
    <w:p>
      <w:pPr>
        <w:spacing w:after="120"/>
      </w:pPr>
      <w:r>
        <w:rPr>
          <w:sz w:val="20"/>
        </w:rPr>
        <w:t>The Contractor determines the method, details and means of performing the Services, provides its own equipment and materials unless otherwise agreed, and is free to provide services to others provided this does not create a conflict of interest or breach of confidentiality.</w:t>
      </w:r>
    </w:p>
    <w:p>
      <w:pPr>
        <w:spacing w:after="120"/>
      </w:pPr>
      <w:r>
        <w:rPr>
          <w:sz w:val="20"/>
        </w:rPr>
        <w:t>The Contractor is solely responsible for its own income tax, social security contributions, insurance and any registration required in its own jurisdiction. The Company will not withhold tax unless required by the law of the Contractor's or the Company's jurisdiction.</w:t>
      </w:r>
    </w:p>
    <w:p>
      <w:r>
        <w:rPr>
          <w:b/>
          <w:color w:val="2C3847"/>
          <w:sz w:val="22"/>
        </w:rPr>
        <w:t>3. Deliverables and Timeline</w:t>
      </w:r>
    </w:p>
    <w:p>
      <w:pPr>
        <w:spacing w:after="120"/>
      </w:pPr>
      <w:r>
        <w:rPr>
          <w:sz w:val="20"/>
        </w:rPr>
        <w:t>The Contractor shall deliver the deliverables described in Schedule A by the dates specified there, in the format and to the standard reasonably required by the Company.</w:t>
      </w:r>
    </w:p>
    <w:p>
      <w:pPr>
        <w:spacing w:after="120"/>
      </w:pPr>
      <w:r>
        <w:rPr>
          <w:sz w:val="20"/>
        </w:rPr>
        <w:t>The Company shall provide reasonable cooperation, access and information needed for performance. Any delay caused by the Company extends the timeline accordingly.</w:t>
      </w:r>
    </w:p>
    <w:p>
      <w:r>
        <w:rPr>
          <w:b/>
          <w:color w:val="2C3847"/>
          <w:sz w:val="22"/>
        </w:rPr>
        <w:t>4. Fees and Payment</w:t>
      </w:r>
    </w:p>
    <w:p>
      <w:pPr>
        <w:spacing w:after="120"/>
      </w:pPr>
      <w:r>
        <w:rPr>
          <w:sz w:val="20"/>
        </w:rPr>
        <w:t>The Company shall pay the fees set out in Schedule A. Unless stated otherwise, fees are exclusive of applicable taxes and are payable in [SELECT CURRENCY] within thirty (30) days of receipt of a valid invoice.</w:t>
      </w:r>
    </w:p>
    <w:p>
      <w:pPr>
        <w:spacing w:after="120"/>
      </w:pPr>
      <w:r>
        <w:rPr>
          <w:sz w:val="20"/>
        </w:rPr>
        <w:t>Pre-approved, reasonably incurred expenses are reimbursable at cost against receipts. The Contractor shall obtain written approval before incurring any expense above [INSERT AMOUNT].</w:t>
      </w:r>
    </w:p>
    <w:p>
      <w:pPr>
        <w:spacing w:after="120"/>
      </w:pPr>
      <w:r>
        <w:rPr>
          <w:sz w:val="20"/>
        </w:rPr>
        <w:t>Payment of fees is not acceptance of deliverables. Where the Company reasonably identifies a defect, it shall notify the Contractor, who shall correct the deliverable at no additional charge.</w:t>
      </w:r>
    </w:p>
    <w:p>
      <w:r>
        <w:rPr>
          <w:b/>
          <w:color w:val="2C3847"/>
          <w:sz w:val="22"/>
        </w:rPr>
        <w:t>5. Intellectual Property</w:t>
      </w:r>
    </w:p>
    <w:p>
      <w:pPr>
        <w:spacing w:after="120"/>
      </w:pPr>
      <w:r>
        <w:rPr>
          <w:sz w:val="20"/>
        </w:rPr>
        <w:t>All intellectual property rights in the deliverables created specifically for the Company under this Agreement are assigned to the Company upon full payment, together with all moral rights to the extent permitted by law.</w:t>
      </w:r>
    </w:p>
    <w:p>
      <w:pPr>
        <w:spacing w:after="120"/>
      </w:pPr>
      <w:r>
        <w:rPr>
          <w:sz w:val="20"/>
        </w:rPr>
        <w:t>The Contractor retains ownership of its pre-existing materials, tools and know-how and grants the Company a perpetual, worldwide, non-exclusive licence to use them to the extent embedded in the deliverables.</w:t>
      </w:r>
    </w:p>
    <w:p>
      <w:pPr>
        <w:spacing w:after="120"/>
      </w:pPr>
      <w:r>
        <w:rPr>
          <w:sz w:val="20"/>
        </w:rPr>
        <w:t>The Contractor shall execute any documents reasonably required to perfect the assignment in item 1 of this clause.</w:t>
      </w:r>
    </w:p>
    <w:p>
      <w:r>
        <w:rPr>
          <w:b/>
          <w:color w:val="2C3847"/>
          <w:sz w:val="22"/>
        </w:rPr>
        <w:t>6. Confidentiality and Data</w:t>
      </w:r>
    </w:p>
    <w:p>
      <w:pPr>
        <w:spacing w:after="120"/>
      </w:pPr>
      <w:r>
        <w:rPr>
          <w:sz w:val="20"/>
        </w:rPr>
        <w:t>The Contractor shall keep the Company's non-public information confidential and use it only to perform the Services. This obligation continues for three (3) years after termination.</w:t>
      </w:r>
    </w:p>
    <w:p>
      <w:pPr>
        <w:spacing w:after="120"/>
      </w:pPr>
      <w:r>
        <w:rPr>
          <w:sz w:val="20"/>
        </w:rPr>
        <w:t>The Contractor shall comply with applicable data protection law when handling personal data on the Company's behalf and shall not transfer personal data to a third country without the Company's written instruction.</w:t>
      </w:r>
    </w:p>
    <w:p>
      <w:r>
        <w:rPr>
          <w:b/>
          <w:color w:val="2C3847"/>
          <w:sz w:val="22"/>
        </w:rPr>
        <w:t>7. Non-Solicitation</w:t>
      </w:r>
    </w:p>
    <w:p>
      <w:pPr>
        <w:spacing w:after="120"/>
      </w:pPr>
      <w:r>
        <w:rPr>
          <w:sz w:val="20"/>
        </w:rPr>
        <w:t>During the engagement and for twelve (12) months afterwards, the Contractor shall not directly solicit the Company's employees or, where the Contractor has had material contact with them, the Company's clients for a competing service.</w:t>
      </w:r>
    </w:p>
    <w:p>
      <w:pPr>
        <w:spacing w:after="120"/>
      </w:pPr>
      <w:r>
        <w:rPr>
          <w:sz w:val="20"/>
        </w:rPr>
        <w:t>This restriction is limited to what is reasonably necessary to protect the Company's legitimate business interests and does not restrict general advertising.</w:t>
      </w:r>
    </w:p>
    <w:p>
      <w:r>
        <w:rPr>
          <w:b/>
          <w:color w:val="2C3847"/>
          <w:sz w:val="22"/>
        </w:rPr>
        <w:t>8. Term and Termination</w:t>
      </w:r>
    </w:p>
    <w:p>
      <w:pPr>
        <w:spacing w:after="120"/>
      </w:pPr>
      <w:r>
        <w:rPr>
          <w:sz w:val="20"/>
        </w:rPr>
        <w:t>Either Party may terminate this Agreement on fourteen (14) days' written notice. The Company may terminate immediately for material breach, fraud or breach of confidentiality.</w:t>
      </w:r>
    </w:p>
    <w:p>
      <w:pPr>
        <w:spacing w:after="120"/>
      </w:pPr>
      <w:r>
        <w:rPr>
          <w:sz w:val="20"/>
        </w:rPr>
        <w:t>On termination the Contractor shall deliver all work in progress and the Company shall pay for Services properly performed and approved expenses incurred up to the termination date.</w:t>
      </w:r>
    </w:p>
    <w:p>
      <w:r>
        <w:rPr>
          <w:b/>
          <w:color w:val="2C3847"/>
          <w:sz w:val="22"/>
        </w:rPr>
        <w:t>9. Governing Law</w:t>
      </w:r>
    </w:p>
    <w:p>
      <w:pPr>
        <w:spacing w:after="120"/>
      </w:pPr>
      <w:r>
        <w:rPr>
          <w:sz w:val="20"/>
        </w:rPr>
        <w:t>This Agreement is governed by the laws of [SELECT JURISDICTION]. The Parties submit to the exclusive jurisdiction of the courts of [SELECT JURISDICTION], save that either Party may seek interim relief where necessary.</w:t>
      </w:r>
    </w:p>
    <w:p/>
    <w:p>
      <w:r>
        <w:rPr>
          <w:b/>
          <w:color w:val="2C3847"/>
          <w:sz w:val="26"/>
        </w:rPr>
        <w:t>Signatures</w:t>
      </w:r>
    </w:p>
    <w:tbl>
      <w:tblPr>
        <w:tblStyle w:val="TableGrid"/>
        <w:tblW w:type="auto" w:w="0"/>
        <w:tblLook w:firstColumn="1" w:firstRow="1" w:lastColumn="0" w:lastRow="0" w:noHBand="0" w:noVBand="1" w:val="04A0"/>
      </w:tblPr>
      <w:tblGrid>
        <w:gridCol w:w="4873"/>
        <w:gridCol w:w="4873"/>
      </w:tblGrid>
      <w:tr>
        <w:tc>
          <w:tcPr>
            <w:tcW w:type="dxa" w:w="4873"/>
          </w:tcPr>
          <w:p>
            <w:r/>
            <w:r>
              <w:br/>
              <w:br/>
            </w:r>
            <w:r>
              <w:rPr>
                <w:color w:val="6B7784"/>
                <w:sz w:val="18"/>
              </w:rPr>
              <w:t>Company — Signature</w:t>
            </w:r>
          </w:p>
        </w:tc>
        <w:tc>
          <w:tcPr>
            <w:tcW w:type="dxa" w:w="4873"/>
          </w:tcPr>
          <w:p>
            <w:r/>
            <w:r>
              <w:br/>
              <w:br/>
            </w:r>
            <w:r>
              <w:rPr>
                <w:color w:val="6B7784"/>
                <w:sz w:val="18"/>
              </w:rPr>
              <w:t>Company — Date</w:t>
            </w:r>
          </w:p>
        </w:tc>
      </w:tr>
      <w:tr>
        <w:tc>
          <w:tcPr>
            <w:tcW w:type="dxa" w:w="4873"/>
          </w:tcPr>
          <w:p>
            <w:r/>
            <w:r>
              <w:br/>
              <w:br/>
            </w:r>
            <w:r>
              <w:rPr>
                <w:color w:val="6B7784"/>
                <w:sz w:val="18"/>
              </w:rPr>
              <w:t>Contractor — Signature</w:t>
            </w:r>
          </w:p>
        </w:tc>
        <w:tc>
          <w:tcPr>
            <w:tcW w:type="dxa" w:w="4873"/>
          </w:tcPr>
          <w:p>
            <w:r/>
            <w:r>
              <w:br/>
              <w:br/>
            </w:r>
            <w:r>
              <w:rPr>
                <w:color w:val="6B7784"/>
                <w:sz w:val="18"/>
              </w:rPr>
              <w:t>Contractor — Date</w:t>
            </w:r>
          </w:p>
        </w:tc>
      </w:tr>
    </w:tbl>
    <w:p/>
    <w:p>
      <w:r>
        <w:rPr>
          <w:i/>
          <w:color w:val="2C3847"/>
          <w:sz w:val="18"/>
        </w:rPr>
        <w:t>Signed electronically:  every party may sign this document by electronic signature. The parties agree that an electronic signature satisfying the applicable electronic signature law has the same legal effect as a handwritten signature, and that the electronic record and audit trail are admissible as evidence.</w:t>
      </w:r>
    </w:p>
    <w:p/>
    <w:p>
      <w:r>
        <w:rPr>
          <w:color w:val="6B7784"/>
          <w:sz w:val="16"/>
        </w:rPr>
        <w:t>IMPORTANT NOTICE — NOT LEGAL ADVICE. This document is a general template provided by ABSign for informational and drafting-assistance purposes only. It does not constitute legal advice and does not create a lawyer–client relationship. Laws differ between jurisdictions and change over time. You should have this template reviewed and adapted by a qualified legal professional licensed in the relevant jurisdiction before using it. ABSign accepts no liability for any loss arising from use of this template without independent legal review.</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