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6B7784"/>
          <w:sz w:val="18"/>
        </w:rPr>
        <w:t>ABSign  ·  Contract Template</w:t>
      </w:r>
    </w:p>
    <w:p>
      <w:r>
        <w:rPr>
          <w:b/>
          <w:color w:val="2C3847"/>
          <w:sz w:val="40"/>
        </w:rPr>
        <w:t>International Sales Contract (Goods)</w:t>
      </w:r>
    </w:p>
    <w:p>
      <w:r>
        <w:rPr>
          <w:color w:val="00A894"/>
          <w:sz w:val="22"/>
        </w:rPr>
        <w:t>Incoterms 2020 ready · Export/import documentation · Payment by LC or T/T</w:t>
      </w:r>
    </w:p>
    <w:p>
      <w:r>
        <w:rPr>
          <w:color w:val="6B7784"/>
          <w:sz w:val="17"/>
        </w:rPr>
        <w:t>Version 1.0  ·  Issued 08 October 2026  ·  Free to use and adapt  ·  abroadsign.com</w:t>
      </w:r>
    </w:p>
    <w:tbl>
      <w:tblPr>
        <w:tblStyle w:val="TableGrid"/>
        <w:tblW w:type="auto" w:w="0"/>
        <w:jc w:val="left"/>
        <w:tblLook w:firstColumn="1" w:firstRow="1" w:lastColumn="0" w:lastRow="0" w:noHBand="0" w:noVBand="1" w:val="04A0"/>
      </w:tblPr>
      <w:tblGrid>
        <w:gridCol w:w="4873"/>
        <w:gridCol w:w="4873"/>
      </w:tblGrid>
      <w:tr>
        <w:tc>
          <w:tcPr>
            <w:tcW w:type="dxa" w:w="4873"/>
          </w:tcPr>
          <w:p>
            <w:r>
              <w:rPr>
                <w:b/>
                <w:sz w:val="18"/>
              </w:rPr>
              <w:t>Document type</w:t>
            </w:r>
          </w:p>
        </w:tc>
        <w:tc>
          <w:tcPr>
            <w:tcW w:type="dxa" w:w="4873"/>
          </w:tcPr>
          <w:p>
            <w:r>
              <w:rPr>
                <w:sz w:val="18"/>
              </w:rPr>
              <w:t>Sale of goods contract (cross-border)</w:t>
            </w:r>
          </w:p>
        </w:tc>
      </w:tr>
      <w:tr>
        <w:tc>
          <w:tcPr>
            <w:tcW w:type="dxa" w:w="4873"/>
          </w:tcPr>
          <w:p>
            <w:r>
              <w:rPr>
                <w:b/>
                <w:sz w:val="18"/>
              </w:rPr>
              <w:t>Best for</w:t>
            </w:r>
          </w:p>
        </w:tc>
        <w:tc>
          <w:tcPr>
            <w:tcW w:type="dxa" w:w="4873"/>
          </w:tcPr>
          <w:p>
            <w:r>
              <w:rPr>
                <w:sz w:val="18"/>
              </w:rPr>
              <w:t>Exporters, importers, trading companies and freight-forwarder managed shipments</w:t>
            </w:r>
          </w:p>
        </w:tc>
      </w:tr>
      <w:tr>
        <w:tc>
          <w:tcPr>
            <w:tcW w:type="dxa" w:w="4873"/>
          </w:tcPr>
          <w:p>
            <w:r>
              <w:rPr>
                <w:b/>
                <w:sz w:val="18"/>
              </w:rPr>
              <w:t>Key clauses</w:t>
            </w:r>
          </w:p>
        </w:tc>
        <w:tc>
          <w:tcPr>
            <w:tcW w:type="dxa" w:w="4873"/>
          </w:tcPr>
          <w:p>
            <w:r>
              <w:rPr>
                <w:sz w:val="18"/>
              </w:rPr>
              <w:t>Goods specification, Incoterms 2020, price and payment, delivery, inspection, title and risk, force majeure, dispute resolution</w:t>
            </w:r>
          </w:p>
        </w:tc>
      </w:tr>
    </w:tbl>
    <w:p/>
    <w:p>
      <w:r>
        <w:rPr>
          <w:b/>
          <w:color w:val="2C3847"/>
          <w:sz w:val="26"/>
        </w:rPr>
        <w:t>Parties</w:t>
      </w:r>
    </w:p>
    <w:p>
      <w:r>
        <w:rPr>
          <w:b/>
        </w:rPr>
        <w:t xml:space="preserve">Seller:  </w:t>
      </w:r>
      <w:r>
        <w:t>______________________________________________</w:t>
      </w:r>
    </w:p>
    <w:p>
      <w:r>
        <w:rPr>
          <w:color w:val="6B7784"/>
          <w:sz w:val="17"/>
        </w:rPr>
        <w:t>(legal name, registered address, representative)</w:t>
      </w:r>
    </w:p>
    <w:p>
      <w:r>
        <w:rPr>
          <w:b/>
        </w:rPr>
        <w:t xml:space="preserve">Buyer:  </w:t>
      </w:r>
      <w:r>
        <w:t>______________________________________________</w:t>
      </w:r>
    </w:p>
    <w:p>
      <w:r>
        <w:rPr>
          <w:color w:val="6B7784"/>
          <w:sz w:val="17"/>
        </w:rPr>
        <w:t>(legal name, registered address, representative)</w:t>
      </w:r>
    </w:p>
    <w:p/>
    <w:p>
      <w:r>
        <w:rPr>
          <w:b/>
          <w:color w:val="2C3847"/>
          <w:sz w:val="26"/>
        </w:rPr>
        <w:t>Agreement</w:t>
      </w:r>
    </w:p>
    <w:p>
      <w:r>
        <w:rPr>
          <w:b/>
          <w:color w:val="2C3847"/>
          <w:sz w:val="22"/>
        </w:rPr>
        <w:t>1. Goods</w:t>
      </w:r>
    </w:p>
    <w:p>
      <w:pPr>
        <w:spacing w:after="120"/>
      </w:pPr>
      <w:r>
        <w:rPr>
          <w:sz w:val="20"/>
        </w:rPr>
        <w:t>The Seller shall sell and the Buyer shall purchase the goods described in Schedule 1 (the "Goods"), including quantity, specification, packaging and HS commodity codes.</w:t>
      </w:r>
    </w:p>
    <w:p>
      <w:pPr>
        <w:spacing w:after="120"/>
      </w:pPr>
      <w:r>
        <w:rPr>
          <w:sz w:val="20"/>
        </w:rPr>
        <w:t>Any sample, drawing, specification or marketing material is indicative only unless expressly incorporated into Schedule 1.</w:t>
      </w:r>
    </w:p>
    <w:p>
      <w:r>
        <w:rPr>
          <w:b/>
          <w:color w:val="2C3847"/>
          <w:sz w:val="22"/>
        </w:rPr>
        <w:t>2. Trade Terms</w:t>
      </w:r>
    </w:p>
    <w:p>
      <w:pPr>
        <w:spacing w:after="120"/>
      </w:pPr>
      <w:r>
        <w:rPr>
          <w:sz w:val="20"/>
        </w:rPr>
        <w:t>Unless otherwise stated in Schedule 1, the Goods are sold on the Incoterms 2020 rule [SELECT: EXW / FCA / FOB / CIF / CIP / DAP / DDP] at the named place [INSERT NAMED PLACE]. The Incoterms 2020 published by the International Chamber of Commerce apply and prevail over any conflicting trade term used by the Parties.</w:t>
      </w:r>
    </w:p>
    <w:p>
      <w:pPr>
        <w:spacing w:after="120"/>
      </w:pPr>
      <w:r>
        <w:rPr>
          <w:sz w:val="20"/>
        </w:rPr>
        <w:t>The Party responsible for customs clearance under the selected Incoterms rule shall act as importer or exporter of record and shall bear all duties, taxes and clearance charges allocated to it under that rule.</w:t>
      </w:r>
    </w:p>
    <w:p>
      <w:r>
        <w:rPr>
          <w:b/>
          <w:color w:val="2C3847"/>
          <w:sz w:val="22"/>
        </w:rPr>
        <w:t>3. Price and Payment</w:t>
      </w:r>
    </w:p>
    <w:p>
      <w:pPr>
        <w:spacing w:after="120"/>
      </w:pPr>
      <w:r>
        <w:rPr>
          <w:sz w:val="20"/>
        </w:rPr>
        <w:t>The price for the Goods is stated in Schedule 1 and is exclusive of any duty, tax or levy unless expressly included. Currency risk is borne by the Party that selected the contract currency.</w:t>
      </w:r>
    </w:p>
    <w:p>
      <w:pPr>
        <w:spacing w:after="120"/>
      </w:pPr>
      <w:r>
        <w:rPr>
          <w:sz w:val="20"/>
        </w:rPr>
        <w:t>Unless otherwise agreed, payment shall be made by [SELECT: irrevocable documentary letter of credit at sight / telegraphic transfer within 30 days of bill of lading date / advance payment in two instalments].</w:t>
      </w:r>
    </w:p>
    <w:p>
      <w:pPr>
        <w:spacing w:after="120"/>
      </w:pPr>
      <w:r>
        <w:rPr>
          <w:sz w:val="20"/>
        </w:rPr>
        <w:t>Where payment is by letter of credit, the Buyer shall procure issuance by a first-class bank acceptable to the Seller within [INSERT] days of signing, on terms no less favourable than those in Schedule 1, and shall ensure the credit is available for presentation for at least [INSERT] days.</w:t>
      </w:r>
    </w:p>
    <w:p>
      <w:r>
        <w:rPr>
          <w:b/>
          <w:color w:val="2C3847"/>
          <w:sz w:val="22"/>
        </w:rPr>
        <w:t>4. Delivery and Shipping Documents</w:t>
      </w:r>
    </w:p>
    <w:p>
      <w:pPr>
        <w:spacing w:after="120"/>
      </w:pPr>
      <w:r>
        <w:rPr>
          <w:sz w:val="20"/>
        </w:rPr>
        <w:t>Delivery occurs in accordance with the delivery point implied by the selected Incoterms rule. The delivery date stated in Schedule 1 is an estimate unless expressly agreed as a fixed date.</w:t>
      </w:r>
    </w:p>
    <w:p>
      <w:pPr>
        <w:spacing w:after="120"/>
      </w:pPr>
      <w:r>
        <w:rPr>
          <w:sz w:val="20"/>
        </w:rPr>
        <w:t>The Seller shall provide the commercial invoice, packing list, transport document, certificate of origin and any other documents specified in Schedule 1 in the required number of originals and copies.</w:t>
      </w:r>
    </w:p>
    <w:p>
      <w:pPr>
        <w:spacing w:after="120"/>
      </w:pPr>
      <w:r>
        <w:rPr>
          <w:sz w:val="20"/>
        </w:rPr>
        <w:t>Where the Buyer requests, the Seller shall reasonably assist with consular legalisation, export licences and certificates of inspection, at the Buyer's cost.</w:t>
      </w:r>
    </w:p>
    <w:p>
      <w:r>
        <w:rPr>
          <w:b/>
          <w:color w:val="2C3847"/>
          <w:sz w:val="22"/>
        </w:rPr>
        <w:t>5. Inspection and Acceptance</w:t>
      </w:r>
    </w:p>
    <w:p>
      <w:pPr>
        <w:spacing w:after="120"/>
      </w:pPr>
      <w:r>
        <w:rPr>
          <w:sz w:val="20"/>
        </w:rPr>
        <w:t>The Buyer shall inspect the Goods promptly on arrival and give written notice of any shortage, damage or non-conformity within [INSERT] days of arrival. Failure to give timely notice constitutes acceptance, save for latent defects.</w:t>
      </w:r>
    </w:p>
    <w:p>
      <w:pPr>
        <w:spacing w:after="120"/>
      </w:pPr>
      <w:r>
        <w:rPr>
          <w:sz w:val="20"/>
        </w:rPr>
        <w:t>For latent defects the Buyer shall notify the Seller promptly after discovery and in any event within the applicable limitation period.</w:t>
      </w:r>
    </w:p>
    <w:p>
      <w:r>
        <w:rPr>
          <w:b/>
          <w:color w:val="2C3847"/>
          <w:sz w:val="22"/>
        </w:rPr>
        <w:t>6. Title and Risk</w:t>
      </w:r>
    </w:p>
    <w:p>
      <w:pPr>
        <w:spacing w:after="120"/>
      </w:pPr>
      <w:r>
        <w:rPr>
          <w:sz w:val="20"/>
        </w:rPr>
        <w:t>Risk in the Goods passes in accordance with the selected Incoterms 2020 rule. Title to the Goods passes to the Buyer only upon receipt by the Seller of payment in full in cleared funds, notwithstanding delivery or the passing of risk.</w:t>
      </w:r>
    </w:p>
    <w:p>
      <w:pPr>
        <w:spacing w:after="120"/>
      </w:pPr>
      <w:r>
        <w:rPr>
          <w:sz w:val="20"/>
        </w:rPr>
        <w:t>Until title passes, the Buyer shall hold the Goods as bailee, store them separately and identifiably, and shall not encumber them.</w:t>
      </w:r>
    </w:p>
    <w:p>
      <w:r>
        <w:rPr>
          <w:b/>
          <w:color w:val="2C3847"/>
          <w:sz w:val="22"/>
        </w:rPr>
        <w:t>7. Compliance, Sanctions and Export Control</w:t>
      </w:r>
    </w:p>
    <w:p>
      <w:pPr>
        <w:spacing w:after="120"/>
      </w:pPr>
      <w:r>
        <w:rPr>
          <w:sz w:val="20"/>
        </w:rPr>
        <w:t>Each Party shall comply with applicable export control, sanctions, anti-bribery and customs laws, including those of its own jurisdiction and of any jurisdiction through which the Goods transit.</w:t>
      </w:r>
    </w:p>
    <w:p>
      <w:pPr>
        <w:spacing w:after="120"/>
      </w:pPr>
      <w:r>
        <w:rPr>
          <w:sz w:val="20"/>
        </w:rPr>
        <w:t>The Seller gives no warranty that the Goods may lawfully be imported into the Buyer's jurisdiction and the Buyer is responsible for obtaining any required import licence, permit or registration.</w:t>
      </w:r>
    </w:p>
    <w:p>
      <w:r>
        <w:rPr>
          <w:b/>
          <w:color w:val="2C3847"/>
          <w:sz w:val="22"/>
        </w:rPr>
        <w:t>8. Force Majeure</w:t>
      </w:r>
    </w:p>
    <w:p>
      <w:pPr>
        <w:spacing w:after="120"/>
      </w:pPr>
      <w:r>
        <w:rPr>
          <w:sz w:val="20"/>
        </w:rPr>
        <w:t>Neither Party is liable for delay or failure caused by events beyond its reasonable control, including natural disaster, war, blockade, port closure, epidemic, strike or government action. The affected Party shall notify the other promptly and use reasonable efforts to mitigate.</w:t>
      </w:r>
    </w:p>
    <w:p>
      <w:pPr>
        <w:spacing w:after="120"/>
      </w:pPr>
      <w:r>
        <w:rPr>
          <w:sz w:val="20"/>
        </w:rPr>
        <w:t>If the event continues for more than sixty (60) days, either Party may terminate the affected portion of the contract without liability, save for rights already accrued.</w:t>
      </w:r>
    </w:p>
    <w:p>
      <w:r>
        <w:rPr>
          <w:b/>
          <w:color w:val="2C3847"/>
          <w:sz w:val="22"/>
        </w:rPr>
        <w:t>9. Limitation of Liability</w:t>
      </w:r>
    </w:p>
    <w:p>
      <w:pPr>
        <w:spacing w:after="120"/>
      </w:pPr>
      <w:r>
        <w:rPr>
          <w:sz w:val="20"/>
        </w:rPr>
        <w:t>Subject to the exclusions required by law, each Party's aggregate liability is limited to the value of the affected shipment. Neither Party is liable for indirect or consequential loss, including loss of profit, loss of market or loss of goodwill.</w:t>
      </w:r>
    </w:p>
    <w:p>
      <w:r>
        <w:rPr>
          <w:b/>
          <w:color w:val="2C3847"/>
          <w:sz w:val="22"/>
        </w:rPr>
        <w:t>10. Governing Law and Dispute Resolution</w:t>
      </w:r>
    </w:p>
    <w:p>
      <w:pPr>
        <w:spacing w:after="120"/>
      </w:pPr>
      <w:r>
        <w:rPr>
          <w:sz w:val="20"/>
        </w:rPr>
        <w:t>This contract is governed by [SELECT: the United Nations Convention on Contracts for the International Sale of Goods (CISG) together with the law of the Seller's jurisdiction / the law of the selected jurisdiction].</w:t>
      </w:r>
    </w:p>
    <w:p>
      <w:pPr>
        <w:spacing w:after="120"/>
      </w:pPr>
      <w:r>
        <w:rPr>
          <w:sz w:val="20"/>
        </w:rPr>
        <w:t>Disputes shall be finally resolved by arbitration under the rules of [SELECT: ICC / SIAC / HKIAC / CIETAC] seated in [SELECT CITY], in the language [SELECT LANGUAGE], by [SELECT NUMBER] arbitrator(s).</w:t>
      </w:r>
    </w:p>
    <w:p>
      <w:pPr>
        <w:spacing w:after="120"/>
      </w:pPr>
      <w:r>
        <w:rPr>
          <w:sz w:val="20"/>
        </w:rPr>
        <w:t>Where a documentary letter of credit has been issued, the Parties shall preserve their rights under it notwithstanding any dispute.</w:t>
      </w:r>
    </w:p>
    <w:p/>
    <w:p>
      <w:r>
        <w:rPr>
          <w:b/>
          <w:color w:val="2C3847"/>
          <w:sz w:val="26"/>
        </w:rPr>
        <w:t>Signatures</w:t>
      </w:r>
    </w:p>
    <w:tbl>
      <w:tblPr>
        <w:tblStyle w:val="TableGrid"/>
        <w:tblW w:type="auto" w:w="0"/>
        <w:tblLook w:firstColumn="1" w:firstRow="1" w:lastColumn="0" w:lastRow="0" w:noHBand="0" w:noVBand="1" w:val="04A0"/>
      </w:tblPr>
      <w:tblGrid>
        <w:gridCol w:w="4873"/>
        <w:gridCol w:w="4873"/>
      </w:tblGrid>
      <w:tr>
        <w:tc>
          <w:tcPr>
            <w:tcW w:type="dxa" w:w="4873"/>
          </w:tcPr>
          <w:p>
            <w:r/>
            <w:r>
              <w:br/>
              <w:br/>
            </w:r>
            <w:r>
              <w:rPr>
                <w:color w:val="6B7784"/>
                <w:sz w:val="18"/>
              </w:rPr>
              <w:t>Seller — Signature</w:t>
            </w:r>
          </w:p>
        </w:tc>
        <w:tc>
          <w:tcPr>
            <w:tcW w:type="dxa" w:w="4873"/>
          </w:tcPr>
          <w:p>
            <w:r/>
            <w:r>
              <w:br/>
              <w:br/>
            </w:r>
            <w:r>
              <w:rPr>
                <w:color w:val="6B7784"/>
                <w:sz w:val="18"/>
              </w:rPr>
              <w:t>Seller — Date</w:t>
            </w:r>
          </w:p>
        </w:tc>
      </w:tr>
      <w:tr>
        <w:tc>
          <w:tcPr>
            <w:tcW w:type="dxa" w:w="4873"/>
          </w:tcPr>
          <w:p>
            <w:r/>
            <w:r>
              <w:br/>
              <w:br/>
            </w:r>
            <w:r>
              <w:rPr>
                <w:color w:val="6B7784"/>
                <w:sz w:val="18"/>
              </w:rPr>
              <w:t>Buyer — Signature</w:t>
            </w:r>
          </w:p>
        </w:tc>
        <w:tc>
          <w:tcPr>
            <w:tcW w:type="dxa" w:w="4873"/>
          </w:tcPr>
          <w:p>
            <w:r/>
            <w:r>
              <w:br/>
              <w:br/>
            </w:r>
            <w:r>
              <w:rPr>
                <w:color w:val="6B7784"/>
                <w:sz w:val="18"/>
              </w:rPr>
              <w:t>Buyer — Date</w:t>
            </w:r>
          </w:p>
        </w:tc>
      </w:tr>
    </w:tbl>
    <w:p/>
    <w:p>
      <w:r>
        <w:rPr>
          <w:i/>
          <w:color w:val="2C3847"/>
          <w:sz w:val="18"/>
        </w:rPr>
        <w:t>Signed electronically:  every party may sign this document by electronic signature. The parties agree that an electronic signature satisfying the applicable electronic signature law has the same legal effect as a handwritten signature, and that the electronic record and audit trail are admissible as evidence.</w:t>
      </w:r>
    </w:p>
    <w:p/>
    <w:p>
      <w:r>
        <w:rPr>
          <w:color w:val="6B7784"/>
          <w:sz w:val="16"/>
        </w:rPr>
        <w:t>IMPORTANT NOTICE — NOT LEGAL ADVICE. This document is a general template provided by ABSign for informational and drafting-assistance purposes only. It does not constitute legal advice and does not create a lawyer–client relationship. Laws differ between jurisdictions and change over time. You should have this template reviewed and adapted by a qualified legal professional licensed in the relevant jurisdiction before using it. ABSign accepts no liability for any loss arising from use of this template without independent legal review.</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