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784"/>
          <w:sz w:val="18"/>
        </w:rPr>
        <w:t>ABSign  ·  Contract Template</w:t>
      </w:r>
    </w:p>
    <w:p>
      <w:r>
        <w:rPr>
          <w:b/>
          <w:color w:val="2C3847"/>
          <w:sz w:val="40"/>
        </w:rPr>
        <w:t>Mutual Non-Disclosure Agreement</w:t>
      </w:r>
    </w:p>
    <w:p>
      <w:r>
        <w:rPr>
          <w:color w:val="00A894"/>
          <w:sz w:val="22"/>
        </w:rPr>
        <w:t>Two-way confidentiality · Suitable for pre-contract negotiations and partnerships</w:t>
      </w:r>
    </w:p>
    <w:p>
      <w:r>
        <w:rPr>
          <w:color w:val="6B7784"/>
          <w:sz w:val="17"/>
        </w:rPr>
        <w:t>Version 1.0  ·  Issued 08 October 2026  ·  Free to use and adapt  ·  abroadsign.com</w:t>
      </w:r>
    </w:p>
    <w:tbl>
      <w:tblPr>
        <w:tblStyle w:val="TableGrid"/>
        <w:tblW w:type="auto" w:w="0"/>
        <w:jc w:val="left"/>
        <w:tblLook w:firstColumn="1" w:firstRow="1" w:lastColumn="0" w:lastRow="0" w:noHBand="0" w:noVBand="1" w:val="04A0"/>
      </w:tblPr>
      <w:tblGrid>
        <w:gridCol w:w="4873"/>
        <w:gridCol w:w="4873"/>
      </w:tblGrid>
      <w:tr>
        <w:tc>
          <w:tcPr>
            <w:tcW w:type="dxa" w:w="4873"/>
          </w:tcPr>
          <w:p>
            <w:r>
              <w:rPr>
                <w:b/>
                <w:sz w:val="18"/>
              </w:rPr>
              <w:t>Document type</w:t>
            </w:r>
          </w:p>
        </w:tc>
        <w:tc>
          <w:tcPr>
            <w:tcW w:type="dxa" w:w="4873"/>
          </w:tcPr>
          <w:p>
            <w:r>
              <w:rPr>
                <w:sz w:val="18"/>
              </w:rPr>
              <w:t>Mutual (bilateral) NDA</w:t>
            </w:r>
          </w:p>
        </w:tc>
      </w:tr>
      <w:tr>
        <w:tc>
          <w:tcPr>
            <w:tcW w:type="dxa" w:w="4873"/>
          </w:tcPr>
          <w:p>
            <w:r>
              <w:rPr>
                <w:b/>
                <w:sz w:val="18"/>
              </w:rPr>
              <w:t>Best for</w:t>
            </w:r>
          </w:p>
        </w:tc>
        <w:tc>
          <w:tcPr>
            <w:tcW w:type="dxa" w:w="4873"/>
          </w:tcPr>
          <w:p>
            <w:r>
              <w:rPr>
                <w:sz w:val="18"/>
              </w:rPr>
              <w:t>Early-stage commercial discussions, vendor evaluation, partnership and M&amp;A talks</w:t>
            </w:r>
          </w:p>
        </w:tc>
      </w:tr>
      <w:tr>
        <w:tc>
          <w:tcPr>
            <w:tcW w:type="dxa" w:w="4873"/>
          </w:tcPr>
          <w:p>
            <w:r>
              <w:rPr>
                <w:b/>
                <w:sz w:val="18"/>
              </w:rPr>
              <w:t>Key clauses</w:t>
            </w:r>
          </w:p>
        </w:tc>
        <w:tc>
          <w:tcPr>
            <w:tcW w:type="dxa" w:w="4873"/>
          </w:tcPr>
          <w:p>
            <w:r>
              <w:rPr>
                <w:sz w:val="18"/>
              </w:rPr>
              <w:t>Definition of confidential information, permitted use, exclusions, term, return of materials, remedies</w:t>
            </w:r>
          </w:p>
        </w:tc>
      </w:tr>
    </w:tbl>
    <w:p/>
    <w:p>
      <w:r>
        <w:rPr>
          <w:b/>
          <w:color w:val="2C3847"/>
          <w:sz w:val="26"/>
        </w:rPr>
        <w:t>Parties</w:t>
      </w:r>
    </w:p>
    <w:p>
      <w:r>
        <w:rPr>
          <w:b/>
        </w:rPr>
        <w:t xml:space="preserve">Party A:  </w:t>
      </w:r>
      <w:r>
        <w:t>______________________________________________</w:t>
      </w:r>
    </w:p>
    <w:p>
      <w:r>
        <w:rPr>
          <w:color w:val="6B7784"/>
          <w:sz w:val="17"/>
        </w:rPr>
        <w:t>(legal name, registered address, representative)</w:t>
      </w:r>
    </w:p>
    <w:p>
      <w:r>
        <w:rPr>
          <w:b/>
        </w:rPr>
        <w:t xml:space="preserve">Party B:  </w:t>
      </w:r>
      <w:r>
        <w:t>______________________________________________</w:t>
      </w:r>
    </w:p>
    <w:p>
      <w:r>
        <w:rPr>
          <w:color w:val="6B7784"/>
          <w:sz w:val="17"/>
        </w:rPr>
        <w:t>(legal name, registered address, representative)</w:t>
      </w:r>
    </w:p>
    <w:p/>
    <w:p>
      <w:r>
        <w:rPr>
          <w:b/>
          <w:color w:val="2C3847"/>
          <w:sz w:val="26"/>
        </w:rPr>
        <w:t>Agreement</w:t>
      </w:r>
    </w:p>
    <w:p>
      <w:r>
        <w:rPr>
          <w:b/>
          <w:color w:val="2C3847"/>
          <w:sz w:val="22"/>
        </w:rPr>
        <w:t>1. Purpose</w:t>
      </w:r>
    </w:p>
    <w:p>
      <w:pPr>
        <w:spacing w:after="120"/>
      </w:pPr>
      <w:r>
        <w:rPr>
          <w:sz w:val="20"/>
        </w:rPr>
        <w:t>The Parties wish to explore a potential business relationship (the "Purpose"). In the course of those discussions each Party may disclose confidential and proprietary information to the other. This Agreement protects that information in both directions.</w:t>
      </w:r>
    </w:p>
    <w:p>
      <w:r>
        <w:rPr>
          <w:b/>
          <w:color w:val="2C3847"/>
          <w:sz w:val="22"/>
        </w:rPr>
        <w:t>2. Confidential Information</w:t>
      </w:r>
    </w:p>
    <w:p>
      <w:pPr>
        <w:spacing w:after="120"/>
      </w:pPr>
      <w:r>
        <w:rPr>
          <w:sz w:val="20"/>
        </w:rPr>
        <w:t>"Confidential Information" means all non-public information disclosed by one Party (the "Disclosing Party") to the other (the "Receiving Party"), in any form, that is marked confidential or that a reasonable person would understand to be confidential given its nature and the circumstances of disclosure.</w:t>
      </w:r>
    </w:p>
    <w:p>
      <w:pPr>
        <w:spacing w:after="120"/>
      </w:pPr>
      <w:r>
        <w:rPr>
          <w:sz w:val="20"/>
        </w:rPr>
        <w:t>Confidential Information includes: business plans, financial information, pricing, customer and supplier lists, technical data, source code, product roadmaps, know-how, and the existence and content of the Parties' discussions.</w:t>
      </w:r>
    </w:p>
    <w:p>
      <w:r>
        <w:rPr>
          <w:b/>
          <w:color w:val="2C3847"/>
          <w:sz w:val="22"/>
        </w:rPr>
        <w:t>3. Obligations of the Receiving Party</w:t>
      </w:r>
    </w:p>
    <w:p>
      <w:pPr>
        <w:spacing w:after="120"/>
      </w:pPr>
      <w:r>
        <w:rPr>
          <w:sz w:val="20"/>
        </w:rPr>
        <w:t>The Receiving Party shall: (a) use Confidential Information solely for the Purpose; (b) protect it with at least the same degree of care it uses for its own confidential information, and in no event less than reasonable care; (c) disclose it only to those of its employees, officers, advisers and contractors who need to know it for the Purpose and who are bound by confidentiality obligations at least as protective as this Agreement; and (d) not reverse engineer, decompile or copy it except as necessary for the Purpose.</w:t>
      </w:r>
    </w:p>
    <w:p>
      <w:pPr>
        <w:spacing w:after="120"/>
      </w:pPr>
      <w:r>
        <w:rPr>
          <w:sz w:val="20"/>
        </w:rPr>
        <w:t>The Receiving Party is responsible for any breach of this Agreement by persons to whom it discloses Confidential Information.</w:t>
      </w:r>
    </w:p>
    <w:p>
      <w:r>
        <w:rPr>
          <w:b/>
          <w:color w:val="2C3847"/>
          <w:sz w:val="22"/>
        </w:rPr>
        <w:t>4. Exclusions</w:t>
      </w:r>
    </w:p>
    <w:p>
      <w:pPr>
        <w:spacing w:after="120"/>
      </w:pPr>
      <w:r>
        <w:rPr>
          <w:sz w:val="20"/>
        </w:rPr>
        <w:t>Confidential Information does not include information that: (a) is or becomes publicly available through no breach of this Agreement; (b) was lawfully in the Receiving Party's possession before disclosure, as evidenced by written records; (c) is lawfully obtained from a third party without restriction; or (d) is independently developed without use of or reference to the Confidential Information.</w:t>
      </w:r>
    </w:p>
    <w:p>
      <w:pPr>
        <w:spacing w:after="120"/>
      </w:pPr>
      <w:r>
        <w:rPr>
          <w:sz w:val="20"/>
        </w:rPr>
        <w:t>Disclosure required by law, regulation or court order is permitted provided the Receiving Party gives prompt written notice where lawful and reasonably assists the Disclosing Party in seeking protective treatment.</w:t>
      </w:r>
    </w:p>
    <w:p>
      <w:r>
        <w:rPr>
          <w:b/>
          <w:color w:val="2C3847"/>
          <w:sz w:val="22"/>
        </w:rPr>
        <w:t>5. No Licence or Warranty</w:t>
      </w:r>
    </w:p>
    <w:p>
      <w:pPr>
        <w:spacing w:after="120"/>
      </w:pPr>
      <w:r>
        <w:rPr>
          <w:sz w:val="20"/>
        </w:rPr>
        <w:t>Nothing in this Agreement grants any licence, by implication or otherwise, to any intellectual property of the Disclosing Party.</w:t>
      </w:r>
    </w:p>
    <w:p>
      <w:pPr>
        <w:spacing w:after="120"/>
      </w:pPr>
      <w:r>
        <w:rPr>
          <w:sz w:val="20"/>
        </w:rPr>
        <w:t>All Confidential Information is provided "as is". The Disclosing Party makes no warranty as to its accuracy or completeness and is not obliged to proceed with any transaction.</w:t>
      </w:r>
    </w:p>
    <w:p>
      <w:r>
        <w:rPr>
          <w:b/>
          <w:color w:val="2C3847"/>
          <w:sz w:val="22"/>
        </w:rPr>
        <w:t>6. Term and Return of Materials</w:t>
      </w:r>
    </w:p>
    <w:p>
      <w:pPr>
        <w:spacing w:after="120"/>
      </w:pPr>
      <w:r>
        <w:rPr>
          <w:sz w:val="20"/>
        </w:rPr>
        <w:t>This Agreement remains in force for two (2) years from the Effective Date. The confidentiality obligations continue for three (3) years after termination, and indefinitely in respect of trade secrets.</w:t>
      </w:r>
    </w:p>
    <w:p>
      <w:pPr>
        <w:spacing w:after="120"/>
      </w:pPr>
      <w:r>
        <w:rPr>
          <w:sz w:val="20"/>
        </w:rPr>
        <w:t>Upon written request or termination, the Receiving Party shall promptly return or destroy all Confidential Information and, if requested, certify destruction in writing. One copy may be retained solely to the extent required by law or internal compliance policy.</w:t>
      </w:r>
    </w:p>
    <w:p>
      <w:r>
        <w:rPr>
          <w:b/>
          <w:color w:val="2C3847"/>
          <w:sz w:val="22"/>
        </w:rPr>
        <w:t>7. Remedies</w:t>
      </w:r>
    </w:p>
    <w:p>
      <w:pPr>
        <w:spacing w:after="120"/>
      </w:pPr>
      <w:r>
        <w:rPr>
          <w:sz w:val="20"/>
        </w:rPr>
        <w:t>The Parties acknowledge that damages may be an inadequate remedy for breach of this Agreement and that the Disclosing Party is entitled to seek injunctive relief in addition to any other remedy available at law or in equity.</w:t>
      </w:r>
    </w:p>
    <w:p>
      <w:r>
        <w:rPr>
          <w:b/>
          <w:color w:val="2C3847"/>
          <w:sz w:val="22"/>
        </w:rPr>
        <w:t>8. Governing Law</w:t>
      </w:r>
    </w:p>
    <w:p>
      <w:pPr>
        <w:spacing w:after="120"/>
      </w:pPr>
      <w:r>
        <w:rPr>
          <w:sz w:val="20"/>
        </w:rPr>
        <w:t>This Agreement is governed by the laws of [SELECT JURISDICTION]. Disputes shall be subject to the exclusive jurisdiction of the courts of [SELECT JURISDICTION], without prejudice to either Party's right to seek interim relief elsewhere.</w:t>
      </w:r>
    </w:p>
    <w:p/>
    <w:p>
      <w:r>
        <w:rPr>
          <w:b/>
          <w:color w:val="2C3847"/>
          <w:sz w:val="26"/>
        </w:rPr>
        <w:t>Signatures</w:t>
      </w:r>
    </w:p>
    <w:tbl>
      <w:tblPr>
        <w:tblStyle w:val="TableGrid"/>
        <w:tblW w:type="auto" w:w="0"/>
        <w:tblLook w:firstColumn="1" w:firstRow="1" w:lastColumn="0" w:lastRow="0" w:noHBand="0" w:noVBand="1" w:val="04A0"/>
      </w:tblPr>
      <w:tblGrid>
        <w:gridCol w:w="4873"/>
        <w:gridCol w:w="4873"/>
      </w:tblGrid>
      <w:tr>
        <w:tc>
          <w:tcPr>
            <w:tcW w:type="dxa" w:w="4873"/>
          </w:tcPr>
          <w:p>
            <w:r/>
            <w:r>
              <w:br/>
              <w:br/>
            </w:r>
            <w:r>
              <w:rPr>
                <w:color w:val="6B7784"/>
                <w:sz w:val="18"/>
              </w:rPr>
              <w:t>Party A — Signature</w:t>
            </w:r>
          </w:p>
        </w:tc>
        <w:tc>
          <w:tcPr>
            <w:tcW w:type="dxa" w:w="4873"/>
          </w:tcPr>
          <w:p>
            <w:r/>
            <w:r>
              <w:br/>
              <w:br/>
            </w:r>
            <w:r>
              <w:rPr>
                <w:color w:val="6B7784"/>
                <w:sz w:val="18"/>
              </w:rPr>
              <w:t>Party A — Date</w:t>
            </w:r>
          </w:p>
        </w:tc>
      </w:tr>
      <w:tr>
        <w:tc>
          <w:tcPr>
            <w:tcW w:type="dxa" w:w="4873"/>
          </w:tcPr>
          <w:p>
            <w:r/>
            <w:r>
              <w:br/>
              <w:br/>
            </w:r>
            <w:r>
              <w:rPr>
                <w:color w:val="6B7784"/>
                <w:sz w:val="18"/>
              </w:rPr>
              <w:t>Party B — Signature</w:t>
            </w:r>
          </w:p>
        </w:tc>
        <w:tc>
          <w:tcPr>
            <w:tcW w:type="dxa" w:w="4873"/>
          </w:tcPr>
          <w:p>
            <w:r/>
            <w:r>
              <w:br/>
              <w:br/>
            </w:r>
            <w:r>
              <w:rPr>
                <w:color w:val="6B7784"/>
                <w:sz w:val="18"/>
              </w:rPr>
              <w:t>Party B — Date</w:t>
            </w:r>
          </w:p>
        </w:tc>
      </w:tr>
    </w:tbl>
    <w:p/>
    <w:p>
      <w:r>
        <w:rPr>
          <w:i/>
          <w:color w:val="2C3847"/>
          <w:sz w:val="18"/>
        </w:rPr>
        <w:t>Signed electronically:  every party may sign this document by electronic signature. The parties agree that an electronic signature satisfying the applicable electronic signature law has the same legal effect as a handwritten signature, and that the electronic record and audit trail are admissible as evidence.</w:t>
      </w:r>
    </w:p>
    <w:p/>
    <w:p>
      <w:r>
        <w:rPr>
          <w:color w:val="6B7784"/>
          <w:sz w:val="16"/>
        </w:rPr>
        <w:t>IMPORTANT NOTICE — NOT LEGAL ADVICE. This document is a general template provided by ABSign for informational and drafting-assistance purposes only. It does not constitute legal advice and does not create a lawyer–client relationship. Laws differ between jurisdictions and change over time. You should have this template reviewed and adapted by a qualified legal professional licensed in the relevant jurisdiction before using it. ABSign accepts no liability for any loss arising from use of this template without independent legal review.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