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6B7784"/>
          <w:sz w:val="18"/>
        </w:rPr>
        <w:t>ABSign  ·  Contract Template</w:t>
      </w:r>
    </w:p>
    <w:p>
      <w:r>
        <w:rPr>
          <w:b/>
          <w:color w:val="2C3847"/>
          <w:sz w:val="40"/>
        </w:rPr>
        <w:t>International Services Agreement</w:t>
      </w:r>
    </w:p>
    <w:p>
      <w:r>
        <w:rPr>
          <w:color w:val="00A894"/>
          <w:sz w:val="22"/>
        </w:rPr>
        <w:t>Cross-border professional services · Bilingual-ready · Governing law selectable</w:t>
      </w:r>
    </w:p>
    <w:p>
      <w:r>
        <w:rPr>
          <w:color w:val="6B7784"/>
          <w:sz w:val="17"/>
        </w:rPr>
        <w:t>Version 1.0  ·  Issued 08 October 2026  ·  Free to use and adapt  ·  abroadsign.com</w:t>
      </w:r>
    </w:p>
    <w:tbl>
      <w:tblPr>
        <w:tblStyle w:val="TableGrid"/>
        <w:tblW w:type="auto" w:w="0"/>
        <w:jc w:val="left"/>
        <w:tblLook w:firstColumn="1" w:firstRow="1" w:lastColumn="0" w:lastRow="0" w:noHBand="0" w:noVBand="1" w:val="04A0"/>
      </w:tblPr>
      <w:tblGrid>
        <w:gridCol w:w="4873"/>
        <w:gridCol w:w="4873"/>
      </w:tblGrid>
      <w:tr>
        <w:tc>
          <w:tcPr>
            <w:tcW w:type="dxa" w:w="4873"/>
          </w:tcPr>
          <w:p>
            <w:r>
              <w:rPr>
                <w:b/>
                <w:sz w:val="18"/>
              </w:rPr>
              <w:t>Document type</w:t>
            </w:r>
          </w:p>
        </w:tc>
        <w:tc>
          <w:tcPr>
            <w:tcW w:type="dxa" w:w="4873"/>
          </w:tcPr>
          <w:p>
            <w:r>
              <w:rPr>
                <w:sz w:val="18"/>
              </w:rPr>
              <w:t>Services agreement (cross-border, B2B)</w:t>
            </w:r>
          </w:p>
        </w:tc>
      </w:tr>
      <w:tr>
        <w:tc>
          <w:tcPr>
            <w:tcW w:type="dxa" w:w="4873"/>
          </w:tcPr>
          <w:p>
            <w:r>
              <w:rPr>
                <w:b/>
                <w:sz w:val="18"/>
              </w:rPr>
              <w:t>Best for</w:t>
            </w:r>
          </w:p>
        </w:tc>
        <w:tc>
          <w:tcPr>
            <w:tcW w:type="dxa" w:w="4873"/>
          </w:tcPr>
          <w:p>
            <w:r>
              <w:rPr>
                <w:sz w:val="18"/>
              </w:rPr>
              <w:t>Consulting, design, software, marketing and other professional services delivered across borders</w:t>
            </w:r>
          </w:p>
        </w:tc>
      </w:tr>
      <w:tr>
        <w:tc>
          <w:tcPr>
            <w:tcW w:type="dxa" w:w="4873"/>
          </w:tcPr>
          <w:p>
            <w:r>
              <w:rPr>
                <w:b/>
                <w:sz w:val="18"/>
              </w:rPr>
              <w:t>Key clauses</w:t>
            </w:r>
          </w:p>
        </w:tc>
        <w:tc>
          <w:tcPr>
            <w:tcW w:type="dxa" w:w="4873"/>
          </w:tcPr>
          <w:p>
            <w:r>
              <w:rPr>
                <w:sz w:val="18"/>
              </w:rPr>
              <w:t>Scope, deliverables, fees &amp; currency, IP, confidentiality, data protection, governing law, dispute resolution</w:t>
            </w:r>
          </w:p>
        </w:tc>
      </w:tr>
    </w:tbl>
    <w:p/>
    <w:p>
      <w:r>
        <w:rPr>
          <w:b/>
          <w:color w:val="2C3847"/>
          <w:sz w:val="26"/>
        </w:rPr>
        <w:t>Parties</w:t>
      </w:r>
    </w:p>
    <w:p>
      <w:r>
        <w:rPr>
          <w:b/>
        </w:rPr>
        <w:t xml:space="preserve">Service Provider:  </w:t>
      </w:r>
      <w:r>
        <w:t>______________________________________________</w:t>
      </w:r>
    </w:p>
    <w:p>
      <w:r>
        <w:rPr>
          <w:color w:val="6B7784"/>
          <w:sz w:val="17"/>
        </w:rPr>
        <w:t>(legal name, registered address, registration number, representative)</w:t>
      </w:r>
    </w:p>
    <w:p>
      <w:r>
        <w:rPr>
          <w:b/>
        </w:rPr>
        <w:t xml:space="preserve">Client:  </w:t>
      </w:r>
      <w:r>
        <w:t>______________________________________________</w:t>
      </w:r>
    </w:p>
    <w:p>
      <w:r>
        <w:rPr>
          <w:color w:val="6B7784"/>
          <w:sz w:val="17"/>
        </w:rPr>
        <w:t>(legal name, registered address, registration number, representative)</w:t>
      </w:r>
    </w:p>
    <w:p/>
    <w:p>
      <w:r>
        <w:rPr>
          <w:b/>
          <w:color w:val="2C3847"/>
          <w:sz w:val="26"/>
        </w:rPr>
        <w:t>Agreement</w:t>
      </w:r>
    </w:p>
    <w:p>
      <w:r>
        <w:rPr>
          <w:b/>
          <w:color w:val="2C3847"/>
          <w:sz w:val="22"/>
        </w:rPr>
        <w:t>1. Definitions and Interpretation</w:t>
      </w:r>
    </w:p>
    <w:p>
      <w:pPr>
        <w:spacing w:after="120"/>
      </w:pPr>
      <w:r>
        <w:rPr>
          <w:sz w:val="20"/>
        </w:rPr>
        <w:t>"Agreement" means this International Services Agreement together with all Schedules and Statements of Work.</w:t>
      </w:r>
    </w:p>
    <w:p>
      <w:pPr>
        <w:spacing w:after="120"/>
      </w:pPr>
      <w:r>
        <w:rPr>
          <w:sz w:val="20"/>
        </w:rPr>
        <w:t>"Services" means the services described in each Statement of Work executed under this Agreement.</w:t>
      </w:r>
    </w:p>
    <w:p>
      <w:pPr>
        <w:spacing w:after="120"/>
      </w:pPr>
      <w:r>
        <w:rPr>
          <w:sz w:val="20"/>
        </w:rPr>
        <w:t>"Statement of Work" or "SOW" means a written description of specific Services, deliverables, fees and timelines signed by both Parties and incorporated by reference.</w:t>
      </w:r>
    </w:p>
    <w:p>
      <w:pPr>
        <w:spacing w:after="120"/>
      </w:pPr>
      <w:r>
        <w:rPr>
          <w:sz w:val="20"/>
        </w:rPr>
        <w:t>"Business Day" means a day other than a Saturday, Sunday or public holiday in the jurisdiction of the Party performing the relevant obligation.</w:t>
      </w:r>
    </w:p>
    <w:p>
      <w:r>
        <w:rPr>
          <w:b/>
          <w:color w:val="2C3847"/>
          <w:sz w:val="22"/>
        </w:rPr>
        <w:t>2. Scope of Services</w:t>
      </w:r>
    </w:p>
    <w:p>
      <w:pPr>
        <w:spacing w:after="120"/>
      </w:pPr>
      <w:r>
        <w:rPr>
          <w:sz w:val="20"/>
        </w:rPr>
        <w:t>The Service Provider shall perform the Services described in each SOW with the skill, care and diligence to be expected of a suitably qualified professional performing similar services.</w:t>
      </w:r>
    </w:p>
    <w:p>
      <w:pPr>
        <w:spacing w:after="120"/>
      </w:pPr>
      <w:r>
        <w:rPr>
          <w:sz w:val="20"/>
        </w:rPr>
        <w:t>Each SOW shall specify: (a) a description of the Services; (b) the deliverables and acceptance criteria; (c) the fees and payment schedule; (d) the estimated timeline; and (e) the name of the responsible contact person for each Party.</w:t>
      </w:r>
    </w:p>
    <w:p>
      <w:pPr>
        <w:spacing w:after="120"/>
      </w:pPr>
      <w:r>
        <w:rPr>
          <w:sz w:val="20"/>
        </w:rPr>
        <w:t>Any change to a SOW must be agreed in writing (including by electronic signature) before the affected Services are performed. Changes may result in an adjustment of fees and timelines.</w:t>
      </w:r>
    </w:p>
    <w:p>
      <w:r>
        <w:rPr>
          <w:b/>
          <w:color w:val="2C3847"/>
          <w:sz w:val="22"/>
        </w:rPr>
        <w:t>3. Fees, Invoicing and Taxes</w:t>
      </w:r>
    </w:p>
    <w:p>
      <w:pPr>
        <w:spacing w:after="120"/>
      </w:pPr>
      <w:r>
        <w:rPr>
          <w:sz w:val="20"/>
        </w:rPr>
        <w:t>The Client shall pay the fees set out in the relevant SOW. Unless stated otherwise, fees are exclusive of value-added tax, goods and services tax, withholding tax and any similar levy.</w:t>
      </w:r>
    </w:p>
    <w:p>
      <w:pPr>
        <w:spacing w:after="120"/>
      </w:pPr>
      <w:r>
        <w:rPr>
          <w:sz w:val="20"/>
        </w:rPr>
        <w:t>Invoices are payable within thirty (30) calendar days of receipt, in the currency stated in the SOW. Where the chosen currency is not the Service Provider's local currency, the Parties shall bear their own conversion costs.</w:t>
      </w:r>
    </w:p>
    <w:p>
      <w:pPr>
        <w:spacing w:after="120"/>
      </w:pPr>
      <w:r>
        <w:rPr>
          <w:sz w:val="20"/>
        </w:rPr>
        <w:t>If any payment is subject to withholding tax, the Client shall gross up the payment so that the Service Provider receives the full invoiced amount, and shall provide the Service Provider with a withholding tax certificate.</w:t>
      </w:r>
    </w:p>
    <w:p>
      <w:pPr>
        <w:spacing w:after="120"/>
      </w:pPr>
      <w:r>
        <w:rPr>
          <w:sz w:val="20"/>
        </w:rPr>
        <w:t>Late payments accrue interest at one percent (1%) per month or the maximum rate permitted by applicable law, whichever is lower.</w:t>
      </w:r>
    </w:p>
    <w:p>
      <w:r>
        <w:rPr>
          <w:b/>
          <w:color w:val="2C3847"/>
          <w:sz w:val="22"/>
        </w:rPr>
        <w:t>4. Intellectual Property</w:t>
      </w:r>
    </w:p>
    <w:p>
      <w:pPr>
        <w:spacing w:after="120"/>
      </w:pPr>
      <w:r>
        <w:rPr>
          <w:sz w:val="20"/>
        </w:rPr>
        <w:t>Each Party retains all intellectual property rights it owned prior to the Effective Date, including its pre-existing tools, know-how, methodologies and templates.</w:t>
      </w:r>
    </w:p>
    <w:p>
      <w:pPr>
        <w:spacing w:after="120"/>
      </w:pPr>
      <w:r>
        <w:rPr>
          <w:sz w:val="20"/>
        </w:rPr>
        <w:t>Upon full payment of the fees for the relevant deliverables, the Client receives a perpetual, worldwide, non-exclusive licence to use the deliverables for its internal business purposes.</w:t>
      </w:r>
    </w:p>
    <w:p>
      <w:pPr>
        <w:spacing w:after="120"/>
      </w:pPr>
      <w:r>
        <w:rPr>
          <w:sz w:val="20"/>
        </w:rPr>
        <w:t>Unless expressly stated in the SOW, no transfer of ownership of intellectual property is granted. The Service Provider retains the right to reuse generic skills, know-how and non-confidential techniques.</w:t>
      </w:r>
    </w:p>
    <w:p>
      <w:r>
        <w:rPr>
          <w:b/>
          <w:color w:val="2C3847"/>
          <w:sz w:val="22"/>
        </w:rPr>
        <w:t>5. Confidentiality</w:t>
      </w:r>
    </w:p>
    <w:p>
      <w:pPr>
        <w:spacing w:after="120"/>
      </w:pPr>
      <w:r>
        <w:rPr>
          <w:sz w:val="20"/>
        </w:rPr>
        <w:t>Each Party shall keep confidential all non-public information disclosed by the other Party in connection with this Agreement and shall use it solely for the purposes of performing this Agreement.</w:t>
      </w:r>
    </w:p>
    <w:p>
      <w:pPr>
        <w:spacing w:after="120"/>
      </w:pPr>
      <w:r>
        <w:rPr>
          <w:sz w:val="20"/>
        </w:rPr>
        <w:t>Confidentiality obligations do not apply to information that: (a) is or becomes publicly available without breach; (b) was lawfully known before disclosure; (c) is independently developed without use of the disclosed information; or (d) must be disclosed by law or court order, provided reasonable notice is given where lawful.</w:t>
      </w:r>
    </w:p>
    <w:p>
      <w:pPr>
        <w:spacing w:after="120"/>
      </w:pPr>
      <w:r>
        <w:rPr>
          <w:sz w:val="20"/>
        </w:rPr>
        <w:t>These obligations survive termination for a period of three (3) years, or indefinitely for trade secrets.</w:t>
      </w:r>
    </w:p>
    <w:p>
      <w:r>
        <w:rPr>
          <w:b/>
          <w:color w:val="2C3847"/>
          <w:sz w:val="22"/>
        </w:rPr>
        <w:t>6. Data Protection</w:t>
      </w:r>
    </w:p>
    <w:p>
      <w:pPr>
        <w:spacing w:after="120"/>
      </w:pPr>
      <w:r>
        <w:rPr>
          <w:sz w:val="20"/>
        </w:rPr>
        <w:t>Where the Service Provider processes personal data on behalf of the Client, it shall do so only on documented instructions, implement appropriate technical and organisational measures, and assist the Client in responding to data subject requests.</w:t>
      </w:r>
    </w:p>
    <w:p>
      <w:pPr>
        <w:spacing w:after="120"/>
      </w:pPr>
      <w:r>
        <w:rPr>
          <w:sz w:val="20"/>
        </w:rPr>
        <w:t>Where the Parties are subject to different data protection regimes (for example the EU GDPR, the UK GDPR, China's PIPL, or US state privacy laws), the Parties shall execute a data processing addendum specifying the permitted transfers, safeguards and sub-processors.</w:t>
      </w:r>
    </w:p>
    <w:p>
      <w:pPr>
        <w:spacing w:after="120"/>
      </w:pPr>
      <w:r>
        <w:rPr>
          <w:sz w:val="20"/>
        </w:rPr>
        <w:t>Each Party shall notify the other without undue delay upon becoming aware of a personal data breach affecting the other Party.</w:t>
      </w:r>
    </w:p>
    <w:p>
      <w:r>
        <w:rPr>
          <w:b/>
          <w:color w:val="2C3847"/>
          <w:sz w:val="22"/>
        </w:rPr>
        <w:t>7. Term, Suspension and Termination</w:t>
      </w:r>
    </w:p>
    <w:p>
      <w:pPr>
        <w:spacing w:after="120"/>
      </w:pPr>
      <w:r>
        <w:rPr>
          <w:sz w:val="20"/>
        </w:rPr>
        <w:t>This Agreement takes effect on the Effective Date and continues until all SOWs are completed, unless terminated earlier in accordance with this clause.</w:t>
      </w:r>
    </w:p>
    <w:p>
      <w:pPr>
        <w:spacing w:after="120"/>
      </w:pPr>
      <w:r>
        <w:rPr>
          <w:sz w:val="20"/>
        </w:rPr>
        <w:t>Either Party may terminate for convenience on sixty (60) days' written notice. The Client shall pay for all Services performed and all non-cancellable commitments incurred up to the effective date of termination.</w:t>
      </w:r>
    </w:p>
    <w:p>
      <w:pPr>
        <w:spacing w:after="120"/>
      </w:pPr>
      <w:r>
        <w:rPr>
          <w:sz w:val="20"/>
        </w:rPr>
        <w:t>Either Party may terminate immediately if the other Party commits a material breach that remains uncured thirty (30) days after written notice, or becomes insolvent, enters administration or ceases business.</w:t>
      </w:r>
    </w:p>
    <w:p>
      <w:r>
        <w:rPr>
          <w:b/>
          <w:color w:val="2C3847"/>
          <w:sz w:val="22"/>
        </w:rPr>
        <w:t>8. Warranties and Limitations of Liability</w:t>
      </w:r>
    </w:p>
    <w:p>
      <w:pPr>
        <w:spacing w:after="120"/>
      </w:pPr>
      <w:r>
        <w:rPr>
          <w:sz w:val="20"/>
        </w:rPr>
        <w:t>The Service Provider warrants that the Services will be performed in a professional and workmanlike manner. The Client's exclusive remedy for breach of this warranty is re-performance of the affected Services or a refund of the fees paid for them.</w:t>
      </w:r>
    </w:p>
    <w:p>
      <w:pPr>
        <w:spacing w:after="120"/>
      </w:pPr>
      <w:r>
        <w:rPr>
          <w:sz w:val="20"/>
        </w:rPr>
        <w:t>Neither Party excludes liability for death or personal injury caused by negligence, fraud, or any other liability that cannot lawfully be excluded.</w:t>
      </w:r>
    </w:p>
    <w:p>
      <w:pPr>
        <w:spacing w:after="120"/>
      </w:pPr>
      <w:r>
        <w:rPr>
          <w:sz w:val="20"/>
        </w:rPr>
        <w:t>Subject to the preceding paragraph, neither Party's aggregate liability under this Agreement shall exceed the total fees paid or payable in the twelve (12) months preceding the event giving rise to the claim, and neither Party shall be liable for indirect or consequential loss, loss of profit, loss of revenue or loss of data.</w:t>
      </w:r>
    </w:p>
    <w:p>
      <w:r>
        <w:rPr>
          <w:b/>
          <w:color w:val="2C3847"/>
          <w:sz w:val="22"/>
        </w:rPr>
        <w:t>9. Force Majeure</w:t>
      </w:r>
    </w:p>
    <w:p>
      <w:pPr>
        <w:spacing w:after="120"/>
      </w:pPr>
      <w:r>
        <w:rPr>
          <w:sz w:val="20"/>
        </w:rPr>
        <w:t>Neither Party is liable for failure or delay caused by events beyond its reasonable control, including natural disasters, war, civil unrest, epidemic or pandemic, failure of public infrastructure, or lawful government action.</w:t>
      </w:r>
    </w:p>
    <w:p>
      <w:pPr>
        <w:spacing w:after="120"/>
      </w:pPr>
      <w:r>
        <w:rPr>
          <w:sz w:val="20"/>
        </w:rPr>
        <w:t>The affected Party shall notify the other promptly and use reasonable efforts to mitigate. If the event continues for more than sixty (60) days, either Party may terminate the affected SOW without further liability.</w:t>
      </w:r>
    </w:p>
    <w:p>
      <w:r>
        <w:rPr>
          <w:b/>
          <w:color w:val="2C3847"/>
          <w:sz w:val="22"/>
        </w:rPr>
        <w:t>10. Anti-Bribery, Sanctions and Compliance</w:t>
      </w:r>
    </w:p>
    <w:p>
      <w:pPr>
        <w:spacing w:after="120"/>
      </w:pPr>
      <w:r>
        <w:rPr>
          <w:sz w:val="20"/>
        </w:rPr>
        <w:t>Each Party shall comply with all applicable anti-bribery, anti-money-laundering and economic sanctions laws, including the UK Bribery Act 2010, the US Foreign Corrupt Practices Act and applicable EU and UN sanctions regimes.</w:t>
      </w:r>
    </w:p>
    <w:p>
      <w:pPr>
        <w:spacing w:after="120"/>
      </w:pPr>
      <w:r>
        <w:rPr>
          <w:sz w:val="20"/>
        </w:rPr>
        <w:t>Neither Party shall offer, promise or give any financial or other advantage to any public official or private person with the intention of obtaining an improper business advantage.</w:t>
      </w:r>
    </w:p>
    <w:p>
      <w:r>
        <w:rPr>
          <w:b/>
          <w:color w:val="2C3847"/>
          <w:sz w:val="22"/>
        </w:rPr>
        <w:t>11. Governing Law and Dispute Resolution</w:t>
      </w:r>
    </w:p>
    <w:p>
      <w:pPr>
        <w:spacing w:after="120"/>
      </w:pPr>
      <w:r>
        <w:rPr>
          <w:sz w:val="20"/>
        </w:rPr>
        <w:t>This Agreement is governed by the laws of [SELECT JURISDICTION], excluding its conflict-of-laws rules.</w:t>
      </w:r>
    </w:p>
    <w:p>
      <w:pPr>
        <w:spacing w:after="120"/>
      </w:pPr>
      <w:r>
        <w:rPr>
          <w:sz w:val="20"/>
        </w:rPr>
        <w:t>The Parties shall first attempt in good faith to resolve any dispute through senior-level negotiation within thirty (30) days of written notice of the dispute.</w:t>
      </w:r>
    </w:p>
    <w:p>
      <w:pPr>
        <w:spacing w:after="120"/>
      </w:pPr>
      <w:r>
        <w:rPr>
          <w:sz w:val="20"/>
        </w:rPr>
        <w:t>If negotiation fails, the dispute shall be finally resolved by [SELECT: arbitration under the rules of the chosen arbitral institution / the exclusive jurisdiction of the courts of the selected jurisdiction]. The language of the proceedings shall be [SELECT LANGUAGE].</w:t>
      </w:r>
    </w:p>
    <w:p>
      <w:pPr>
        <w:spacing w:after="120"/>
      </w:pPr>
      <w:r>
        <w:rPr>
          <w:sz w:val="20"/>
        </w:rPr>
        <w:t>Nothing in this clause prevents either Party from seeking urgent interim relief from a court of competent jurisdiction.</w:t>
      </w:r>
    </w:p>
    <w:p>
      <w:r>
        <w:rPr>
          <w:b/>
          <w:color w:val="2C3847"/>
          <w:sz w:val="22"/>
        </w:rPr>
        <w:t>12. General</w:t>
      </w:r>
    </w:p>
    <w:p>
      <w:pPr>
        <w:spacing w:after="120"/>
      </w:pPr>
      <w:r>
        <w:rPr>
          <w:sz w:val="20"/>
        </w:rPr>
        <w:t>This Agreement, together with its SOWs and Schedules, constitutes the entire agreement between the Parties and supersedes all prior discussions and proposals.</w:t>
      </w:r>
    </w:p>
    <w:p>
      <w:pPr>
        <w:spacing w:after="120"/>
      </w:pPr>
      <w:r>
        <w:rPr>
          <w:sz w:val="20"/>
        </w:rPr>
        <w:t>No variation is effective unless made in writing and signed by an authorised representative of each Party. Electronic signatures satisfying the applicable electronic signature law shall be valid for this purpose.</w:t>
      </w:r>
    </w:p>
    <w:p>
      <w:pPr>
        <w:spacing w:after="120"/>
      </w:pPr>
      <w:r>
        <w:rPr>
          <w:sz w:val="20"/>
        </w:rPr>
        <w:t>Neither Party may assign this Agreement without the other Party's prior written consent, except to an affiliate or in connection with a merger or sale of substantially all its assets.</w:t>
      </w:r>
    </w:p>
    <w:p>
      <w:pPr>
        <w:spacing w:after="120"/>
      </w:pPr>
      <w:r>
        <w:rPr>
          <w:sz w:val="20"/>
        </w:rPr>
        <w:t>If any provision is held unenforceable, the remainder shall continue in full force. A Party's failure to enforce a provision is not a waiver of it.</w:t>
      </w:r>
    </w:p>
    <w:p/>
    <w:p>
      <w:r>
        <w:rPr>
          <w:b/>
          <w:color w:val="2C3847"/>
          <w:sz w:val="26"/>
        </w:rPr>
        <w:t>Signatures</w:t>
      </w:r>
    </w:p>
    <w:tbl>
      <w:tblPr>
        <w:tblStyle w:val="TableGrid"/>
        <w:tblW w:type="auto" w:w="0"/>
        <w:tblLook w:firstColumn="1" w:firstRow="1" w:lastColumn="0" w:lastRow="0" w:noHBand="0" w:noVBand="1" w:val="04A0"/>
      </w:tblPr>
      <w:tblGrid>
        <w:gridCol w:w="4873"/>
        <w:gridCol w:w="4873"/>
      </w:tblGrid>
      <w:tr>
        <w:tc>
          <w:tcPr>
            <w:tcW w:type="dxa" w:w="4873"/>
          </w:tcPr>
          <w:p>
            <w:r/>
            <w:r>
              <w:br/>
              <w:br/>
            </w:r>
            <w:r>
              <w:rPr>
                <w:color w:val="6B7784"/>
                <w:sz w:val="18"/>
              </w:rPr>
              <w:t>Service Provider — Signature</w:t>
            </w:r>
          </w:p>
        </w:tc>
        <w:tc>
          <w:tcPr>
            <w:tcW w:type="dxa" w:w="4873"/>
          </w:tcPr>
          <w:p>
            <w:r/>
            <w:r>
              <w:br/>
              <w:br/>
            </w:r>
            <w:r>
              <w:rPr>
                <w:color w:val="6B7784"/>
                <w:sz w:val="18"/>
              </w:rPr>
              <w:t>Service Provider — Date</w:t>
            </w:r>
          </w:p>
        </w:tc>
      </w:tr>
      <w:tr>
        <w:tc>
          <w:tcPr>
            <w:tcW w:type="dxa" w:w="4873"/>
          </w:tcPr>
          <w:p>
            <w:r/>
            <w:r>
              <w:br/>
              <w:br/>
            </w:r>
            <w:r>
              <w:rPr>
                <w:color w:val="6B7784"/>
                <w:sz w:val="18"/>
              </w:rPr>
              <w:t>Client — Signature</w:t>
            </w:r>
          </w:p>
        </w:tc>
        <w:tc>
          <w:tcPr>
            <w:tcW w:type="dxa" w:w="4873"/>
          </w:tcPr>
          <w:p>
            <w:r/>
            <w:r>
              <w:br/>
              <w:br/>
            </w:r>
            <w:r>
              <w:rPr>
                <w:color w:val="6B7784"/>
                <w:sz w:val="18"/>
              </w:rPr>
              <w:t>Client — Date</w:t>
            </w:r>
          </w:p>
        </w:tc>
      </w:tr>
    </w:tbl>
    <w:p/>
    <w:p>
      <w:r>
        <w:rPr>
          <w:i/>
          <w:color w:val="2C3847"/>
          <w:sz w:val="18"/>
        </w:rPr>
        <w:t>Signed electronically:  every party may sign this document by electronic signature. The parties agree that an electronic signature satisfying the applicable electronic signature law has the same legal effect as a handwritten signature, and that the electronic record and audit trail are admissible as evidence.</w:t>
      </w:r>
    </w:p>
    <w:p/>
    <w:p>
      <w:r>
        <w:rPr>
          <w:color w:val="6B7784"/>
          <w:sz w:val="16"/>
        </w:rPr>
        <w:t>IMPORTANT NOTICE — NOT LEGAL ADVICE. This document is a general template provided by ABSign for informational and drafting-assistance purposes only. It does not constitute legal advice and does not create a lawyer–client relationship. Laws differ between jurisdictions and change over time. You should have this template reviewed and adapted by a qualified legal professional licensed in the relevant jurisdiction before using it. ABSign accepts no liability for any loss arising from use of this template without independent legal review.</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